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9160A" w14:textId="77777777" w:rsidR="00FA6F81" w:rsidRPr="00101A6D" w:rsidRDefault="00FA6F81" w:rsidP="008201A1">
      <w:pPr>
        <w:spacing w:after="0" w:line="240" w:lineRule="auto"/>
        <w:jc w:val="right"/>
        <w:rPr>
          <w:rFonts w:ascii="The Wave Sans TT" w:hAnsi="The Wave Sans TT"/>
          <w:i/>
        </w:rPr>
      </w:pPr>
    </w:p>
    <w:p w14:paraId="6E8F202C" w14:textId="77777777" w:rsidR="008201A1" w:rsidRPr="007111B1" w:rsidRDefault="008201A1" w:rsidP="008201A1">
      <w:pPr>
        <w:spacing w:after="0" w:line="240" w:lineRule="auto"/>
        <w:jc w:val="right"/>
        <w:rPr>
          <w:rFonts w:ascii="The Wave Sans TT" w:hAnsi="The Wave Sans TT"/>
          <w:i/>
        </w:rPr>
      </w:pPr>
      <w:r w:rsidRPr="007111B1">
        <w:rPr>
          <w:rFonts w:ascii="The Wave Sans TT" w:hAnsi="The Wave Sans TT"/>
          <w:i/>
        </w:rPr>
        <w:t xml:space="preserve">Μαρούσι, </w:t>
      </w:r>
      <w:r w:rsidR="009F59CF">
        <w:rPr>
          <w:rFonts w:ascii="The Wave Sans TT" w:hAnsi="The Wave Sans TT"/>
          <w:i/>
        </w:rPr>
        <w:t>2</w:t>
      </w:r>
      <w:r w:rsidR="00FA6F81">
        <w:rPr>
          <w:rFonts w:ascii="The Wave Sans TT" w:hAnsi="The Wave Sans TT"/>
          <w:i/>
        </w:rPr>
        <w:t>9</w:t>
      </w:r>
      <w:r w:rsidRPr="007111B1">
        <w:rPr>
          <w:rFonts w:ascii="The Wave Sans TT" w:hAnsi="The Wave Sans TT"/>
          <w:i/>
        </w:rPr>
        <w:t xml:space="preserve"> </w:t>
      </w:r>
      <w:r w:rsidR="00FA6F81">
        <w:rPr>
          <w:rFonts w:ascii="The Wave Sans TT" w:hAnsi="The Wave Sans TT"/>
          <w:i/>
        </w:rPr>
        <w:t>Φεβρουαρίου</w:t>
      </w:r>
      <w:r w:rsidR="00114962" w:rsidRPr="007111B1">
        <w:rPr>
          <w:rFonts w:ascii="The Wave Sans TT" w:hAnsi="The Wave Sans TT"/>
          <w:i/>
        </w:rPr>
        <w:t xml:space="preserve"> </w:t>
      </w:r>
      <w:r w:rsidRPr="007111B1">
        <w:rPr>
          <w:rFonts w:ascii="The Wave Sans TT" w:hAnsi="The Wave Sans TT"/>
          <w:i/>
        </w:rPr>
        <w:t>202</w:t>
      </w:r>
      <w:r w:rsidR="00FA6F81">
        <w:rPr>
          <w:rFonts w:ascii="The Wave Sans TT" w:hAnsi="The Wave Sans TT"/>
          <w:i/>
        </w:rPr>
        <w:t>4</w:t>
      </w:r>
    </w:p>
    <w:p w14:paraId="03D22E13" w14:textId="77777777" w:rsidR="008201A1" w:rsidRPr="00F430F8" w:rsidRDefault="008201A1" w:rsidP="008201A1">
      <w:pPr>
        <w:spacing w:after="0" w:line="240" w:lineRule="auto"/>
        <w:jc w:val="center"/>
        <w:rPr>
          <w:rFonts w:ascii="The Wave Sans TT" w:hAnsi="The Wave Sans TT"/>
          <w:b/>
          <w:sz w:val="24"/>
          <w:szCs w:val="20"/>
        </w:rPr>
      </w:pPr>
    </w:p>
    <w:p w14:paraId="313E4C92" w14:textId="77777777" w:rsidR="002B54ED" w:rsidRPr="00051396" w:rsidRDefault="002B54ED" w:rsidP="002B54ED">
      <w:pPr>
        <w:spacing w:after="0" w:line="240" w:lineRule="auto"/>
        <w:jc w:val="center"/>
        <w:rPr>
          <w:rFonts w:ascii="The Wave Sans TT" w:hAnsi="The Wave Sans TT"/>
          <w:b/>
          <w:sz w:val="28"/>
          <w:szCs w:val="20"/>
        </w:rPr>
      </w:pPr>
      <w:r w:rsidRPr="007524A3">
        <w:rPr>
          <w:rFonts w:ascii="The Wave Sans TT" w:hAnsi="The Wave Sans TT" w:cs="Arial"/>
          <w:b/>
          <w:sz w:val="24"/>
        </w:rPr>
        <w:t xml:space="preserve">Αποτελέσματα </w:t>
      </w:r>
      <w:r w:rsidR="00FA6F81">
        <w:rPr>
          <w:rFonts w:ascii="The Wave Sans TT" w:hAnsi="The Wave Sans TT" w:cs="Arial"/>
          <w:b/>
          <w:sz w:val="24"/>
        </w:rPr>
        <w:t>Δ</w:t>
      </w:r>
      <w:r w:rsidRPr="007524A3">
        <w:rPr>
          <w:rFonts w:ascii="The Wave Sans TT" w:hAnsi="The Wave Sans TT" w:cs="Arial"/>
          <w:b/>
          <w:sz w:val="24"/>
        </w:rPr>
        <w:t xml:space="preserve">’ Τριμήνου / </w:t>
      </w:r>
      <w:r w:rsidR="00FA6F81">
        <w:rPr>
          <w:rFonts w:ascii="The Wave Sans TT" w:hAnsi="The Wave Sans TT" w:cs="Arial"/>
          <w:b/>
          <w:sz w:val="24"/>
        </w:rPr>
        <w:t xml:space="preserve">Έτους </w:t>
      </w:r>
      <w:r w:rsidRPr="007524A3">
        <w:rPr>
          <w:rFonts w:ascii="The Wave Sans TT" w:hAnsi="The Wave Sans TT" w:cs="Arial"/>
          <w:b/>
          <w:sz w:val="24"/>
        </w:rPr>
        <w:t>202</w:t>
      </w:r>
      <w:r w:rsidRPr="0001475A">
        <w:rPr>
          <w:rFonts w:ascii="The Wave Sans TT" w:hAnsi="The Wave Sans TT" w:cs="Arial"/>
          <w:b/>
          <w:sz w:val="24"/>
        </w:rPr>
        <w:t>3</w:t>
      </w:r>
    </w:p>
    <w:p w14:paraId="3E0C4352" w14:textId="77777777" w:rsidR="008201A1" w:rsidRPr="00F430F8" w:rsidRDefault="008201A1" w:rsidP="008201A1">
      <w:pPr>
        <w:spacing w:after="0" w:line="240" w:lineRule="auto"/>
        <w:jc w:val="center"/>
        <w:rPr>
          <w:rFonts w:ascii="The Wave Sans TT" w:hAnsi="The Wave Sans TT"/>
        </w:rPr>
      </w:pPr>
    </w:p>
    <w:tbl>
      <w:tblPr>
        <w:tblW w:w="8820" w:type="dxa"/>
        <w:jc w:val="center"/>
        <w:tblLook w:val="01E0" w:firstRow="1" w:lastRow="1" w:firstColumn="1" w:lastColumn="1" w:noHBand="0" w:noVBand="0"/>
      </w:tblPr>
      <w:tblGrid>
        <w:gridCol w:w="8820"/>
      </w:tblGrid>
      <w:tr w:rsidR="00970537" w:rsidRPr="00970537" w14:paraId="72BDEB11" w14:textId="77777777" w:rsidTr="009357B6">
        <w:trPr>
          <w:trHeight w:val="682"/>
          <w:jc w:val="center"/>
        </w:trPr>
        <w:tc>
          <w:tcPr>
            <w:tcW w:w="8820" w:type="dxa"/>
            <w:shd w:val="clear" w:color="auto" w:fill="auto"/>
            <w:vAlign w:val="center"/>
          </w:tcPr>
          <w:p w14:paraId="777F8929" w14:textId="77777777" w:rsidR="008201A1" w:rsidRPr="00970537" w:rsidRDefault="00B56009" w:rsidP="00575683">
            <w:pPr>
              <w:spacing w:after="0"/>
              <w:jc w:val="center"/>
              <w:rPr>
                <w:rFonts w:ascii="The Wave Sans TT" w:hAnsi="The Wave Sans TT" w:cs="Arial"/>
                <w:b/>
              </w:rPr>
            </w:pPr>
            <w:r w:rsidRPr="00344581">
              <w:rPr>
                <w:rFonts w:ascii="The Wave Sans TT" w:hAnsi="The Wave Sans TT" w:cs="Arial"/>
                <w:b/>
              </w:rPr>
              <w:t xml:space="preserve">Υψηλή κερδοφορία λόγω </w:t>
            </w:r>
            <w:r w:rsidR="00925636">
              <w:rPr>
                <w:rFonts w:ascii="The Wave Sans TT" w:hAnsi="The Wave Sans TT" w:cs="Arial"/>
                <w:b/>
              </w:rPr>
              <w:t>αυξημένης παραγωγής και εξαγωγών</w:t>
            </w:r>
            <w:r w:rsidRPr="00344581">
              <w:rPr>
                <w:rFonts w:ascii="The Wave Sans TT" w:hAnsi="The Wave Sans TT" w:cs="Arial"/>
                <w:b/>
              </w:rPr>
              <w:t xml:space="preserve"> </w:t>
            </w:r>
            <w:r w:rsidR="002F2920">
              <w:rPr>
                <w:rFonts w:ascii="The Wave Sans TT" w:hAnsi="The Wave Sans TT" w:cs="Arial"/>
                <w:b/>
              </w:rPr>
              <w:t xml:space="preserve">σε ευνοϊκό </w:t>
            </w:r>
            <w:r w:rsidR="009357B6" w:rsidRPr="00344581">
              <w:rPr>
                <w:rFonts w:ascii="The Wave Sans TT" w:hAnsi="The Wave Sans TT" w:cs="Arial"/>
                <w:b/>
              </w:rPr>
              <w:t>διεθν</w:t>
            </w:r>
            <w:r w:rsidR="002F2920">
              <w:rPr>
                <w:rFonts w:ascii="The Wave Sans TT" w:hAnsi="The Wave Sans TT" w:cs="Arial"/>
                <w:b/>
              </w:rPr>
              <w:t>ές</w:t>
            </w:r>
            <w:r w:rsidR="009357B6" w:rsidRPr="00344581">
              <w:rPr>
                <w:rFonts w:ascii="The Wave Sans TT" w:hAnsi="The Wave Sans TT" w:cs="Arial"/>
                <w:b/>
              </w:rPr>
              <w:t xml:space="preserve"> περιβάλλον</w:t>
            </w:r>
            <w:r w:rsidRPr="00344581">
              <w:rPr>
                <w:rFonts w:ascii="The Wave Sans TT" w:hAnsi="The Wave Sans TT" w:cs="Arial"/>
                <w:b/>
              </w:rPr>
              <w:t xml:space="preserve"> διύλισης</w:t>
            </w:r>
            <w:r w:rsidR="00393494" w:rsidRPr="00344581">
              <w:rPr>
                <w:rFonts w:ascii="The Wave Sans TT" w:hAnsi="The Wave Sans TT" w:cs="Arial"/>
                <w:b/>
              </w:rPr>
              <w:t xml:space="preserve"> </w:t>
            </w:r>
            <w:r w:rsidR="009357B6" w:rsidRPr="00344581">
              <w:rPr>
                <w:rFonts w:ascii="The Wave Sans TT" w:hAnsi="The Wave Sans TT" w:cs="Arial"/>
                <w:b/>
              </w:rPr>
              <w:t>–</w:t>
            </w:r>
            <w:r w:rsidR="00D93EAF" w:rsidRPr="00344581">
              <w:rPr>
                <w:rFonts w:ascii="The Wave Sans TT" w:hAnsi="The Wave Sans TT" w:cs="Arial"/>
                <w:b/>
              </w:rPr>
              <w:t xml:space="preserve"> </w:t>
            </w:r>
            <w:r w:rsidR="00344581" w:rsidRPr="00344581">
              <w:rPr>
                <w:rFonts w:ascii="The Wave Sans TT" w:hAnsi="The Wave Sans TT" w:cs="Arial"/>
                <w:b/>
              </w:rPr>
              <w:t xml:space="preserve">Συνολικό μέρισμα €0,90 ανά μετοχή - </w:t>
            </w:r>
            <w:r w:rsidR="00832731" w:rsidRPr="00344581">
              <w:rPr>
                <w:rFonts w:ascii="The Wave Sans TT" w:hAnsi="The Wave Sans TT" w:cs="Arial"/>
                <w:b/>
              </w:rPr>
              <w:t xml:space="preserve">Επιτάχυνση </w:t>
            </w:r>
            <w:r w:rsidRPr="00344581">
              <w:rPr>
                <w:rFonts w:ascii="The Wave Sans TT" w:hAnsi="The Wave Sans TT" w:cs="Arial"/>
                <w:b/>
              </w:rPr>
              <w:t xml:space="preserve">ρυθμού </w:t>
            </w:r>
            <w:r w:rsidR="00970537" w:rsidRPr="00344581">
              <w:rPr>
                <w:rFonts w:ascii="The Wave Sans TT" w:hAnsi="The Wave Sans TT" w:cs="Arial"/>
                <w:b/>
              </w:rPr>
              <w:t xml:space="preserve">υλοποίησης του </w:t>
            </w:r>
            <w:r w:rsidR="009357B6" w:rsidRPr="00344581">
              <w:rPr>
                <w:rFonts w:ascii="The Wave Sans TT" w:hAnsi="The Wave Sans TT" w:cs="Arial"/>
                <w:b/>
              </w:rPr>
              <w:t>πλάνου ενεργειακής μετάβασης</w:t>
            </w:r>
            <w:r w:rsidR="009357B6" w:rsidRPr="00970537">
              <w:rPr>
                <w:rFonts w:ascii="The Wave Sans TT" w:hAnsi="The Wave Sans TT" w:cs="Arial"/>
                <w:b/>
              </w:rPr>
              <w:t xml:space="preserve"> </w:t>
            </w:r>
          </w:p>
        </w:tc>
      </w:tr>
      <w:tr w:rsidR="0026228D" w:rsidRPr="0026228D" w14:paraId="62003028" w14:textId="77777777" w:rsidTr="009357B6">
        <w:trPr>
          <w:trHeight w:val="224"/>
          <w:jc w:val="center"/>
        </w:trPr>
        <w:tc>
          <w:tcPr>
            <w:tcW w:w="8820" w:type="dxa"/>
            <w:shd w:val="clear" w:color="auto" w:fill="auto"/>
            <w:vAlign w:val="center"/>
          </w:tcPr>
          <w:p w14:paraId="38CCB91B" w14:textId="77777777" w:rsidR="008201A1" w:rsidRPr="007E6208" w:rsidRDefault="008201A1" w:rsidP="007E6208">
            <w:pPr>
              <w:spacing w:line="240" w:lineRule="auto"/>
              <w:jc w:val="center"/>
              <w:rPr>
                <w:rFonts w:ascii="The Wave Sans TT" w:hAnsi="The Wave Sans TT" w:cs="Arial"/>
                <w:b/>
                <w:sz w:val="18"/>
                <w:szCs w:val="18"/>
              </w:rPr>
            </w:pPr>
          </w:p>
          <w:p w14:paraId="06EA3125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 xml:space="preserve">Ισχυρή κερδοφορία το 2023 και θετικά λειτουργικά αποτελέσματα σε όλες τις δραστηριότητες. </w:t>
            </w:r>
          </w:p>
          <w:p w14:paraId="616C0F96" w14:textId="77777777" w:rsidR="007E6208" w:rsidRPr="007E6208" w:rsidRDefault="007E6208" w:rsidP="007E6208">
            <w:pPr>
              <w:pStyle w:val="ListParagraph"/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</w:p>
          <w:p w14:paraId="099EE1B6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>Στα €1,24 δισ. τα Συγκρίσιμα ετήσια EBITDA και στα €606 εκατ. τα καθαρά κέρδη.</w:t>
            </w:r>
          </w:p>
          <w:p w14:paraId="2F45AC08" w14:textId="77777777" w:rsidR="007E6208" w:rsidRPr="007E6208" w:rsidRDefault="007E6208" w:rsidP="007E6208">
            <w:pPr>
              <w:pStyle w:val="ListParagraph"/>
              <w:spacing w:after="200" w:line="240" w:lineRule="auto"/>
              <w:rPr>
                <w:rFonts w:ascii="The Wave Sans TT" w:hAnsi="The Wave Sans TT"/>
                <w:sz w:val="18"/>
                <w:szCs w:val="18"/>
              </w:rPr>
            </w:pPr>
          </w:p>
          <w:p w14:paraId="1EE56921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>Πρόταση στη Γενική Συνέλευση για τελικό μέρισμα €0,60 ανά μετοχή. Συνολικό μέρισμα €0,90 ανά μετοχή</w:t>
            </w:r>
            <w:r w:rsidRPr="007E6208">
              <w:rPr>
                <w:rFonts w:ascii="The Wave Sans TT" w:hAnsi="The Wave Sans TT"/>
                <w:sz w:val="18"/>
                <w:szCs w:val="18"/>
                <w:lang w:val="en-US"/>
              </w:rPr>
              <w:t>.</w:t>
            </w:r>
          </w:p>
          <w:p w14:paraId="61FECFA2" w14:textId="77777777" w:rsidR="007E6208" w:rsidRPr="007E6208" w:rsidRDefault="007E6208" w:rsidP="007E6208">
            <w:pPr>
              <w:pStyle w:val="ListParagraph"/>
              <w:spacing w:after="200" w:line="240" w:lineRule="auto"/>
              <w:rPr>
                <w:rFonts w:ascii="The Wave Sans TT" w:hAnsi="The Wave Sans TT"/>
                <w:sz w:val="18"/>
                <w:szCs w:val="18"/>
              </w:rPr>
            </w:pPr>
          </w:p>
          <w:p w14:paraId="07705FFC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>Σε υψηλά επίπεδα η απόδοση των διυλιστηρίων και οι εξαγωγές. Ευνοϊκά διεθνή περιθώρια διύλισης και βελτιωμένη επίδοση από τις ΑΠΕ.</w:t>
            </w:r>
          </w:p>
          <w:p w14:paraId="7D1EE9C3" w14:textId="77777777" w:rsidR="007E6208" w:rsidRPr="007E6208" w:rsidRDefault="007E6208" w:rsidP="007E6208">
            <w:pPr>
              <w:pStyle w:val="ListParagraph"/>
              <w:spacing w:after="200" w:line="240" w:lineRule="auto"/>
              <w:rPr>
                <w:rFonts w:ascii="The Wave Sans TT" w:hAnsi="The Wave Sans TT"/>
                <w:sz w:val="18"/>
                <w:szCs w:val="18"/>
              </w:rPr>
            </w:pPr>
          </w:p>
          <w:p w14:paraId="25FAC5EB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 xml:space="preserve">Πρόοδος σε όλους τους στρατηγικούς άξονες του </w:t>
            </w:r>
            <w:r w:rsidRPr="007E6208">
              <w:rPr>
                <w:rFonts w:ascii="The Wave Sans TT" w:hAnsi="The Wave Sans TT"/>
                <w:sz w:val="18"/>
                <w:szCs w:val="18"/>
                <w:lang w:val="en-US"/>
              </w:rPr>
              <w:t>Vision</w:t>
            </w:r>
            <w:r w:rsidRPr="007E6208">
              <w:rPr>
                <w:rFonts w:ascii="The Wave Sans TT" w:hAnsi="The Wave Sans TT"/>
                <w:sz w:val="18"/>
                <w:szCs w:val="18"/>
              </w:rPr>
              <w:t xml:space="preserve"> 2025. Επενδύσεις €291 εκατ. με έμφαση στην αναβάθμιση των διυλιστηρίων. </w:t>
            </w:r>
          </w:p>
          <w:p w14:paraId="20878763" w14:textId="77777777" w:rsidR="007E6208" w:rsidRPr="007E6208" w:rsidRDefault="007E6208" w:rsidP="007E6208">
            <w:pPr>
              <w:pStyle w:val="ListParagraph"/>
              <w:spacing w:after="200" w:line="240" w:lineRule="auto"/>
              <w:rPr>
                <w:rFonts w:ascii="The Wave Sans TT" w:hAnsi="The Wave Sans TT"/>
                <w:sz w:val="18"/>
                <w:szCs w:val="18"/>
              </w:rPr>
            </w:pPr>
          </w:p>
          <w:p w14:paraId="0A61B197" w14:textId="77777777" w:rsidR="007E6208" w:rsidRPr="007E6208" w:rsidRDefault="007E6208" w:rsidP="007E6208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>Επιτάχυνση στην υλοποίηση του πλάνου για τις ΑΠΕ, με στόχο ισχύ 1 GW μέχρι το 2025.</w:t>
            </w:r>
          </w:p>
          <w:p w14:paraId="60E6B26A" w14:textId="77777777" w:rsidR="007E6208" w:rsidRPr="007E6208" w:rsidRDefault="007E6208" w:rsidP="007E6208">
            <w:pPr>
              <w:pStyle w:val="ListParagraph"/>
              <w:spacing w:after="200" w:line="240" w:lineRule="auto"/>
              <w:rPr>
                <w:rFonts w:ascii="The Wave Sans TT" w:hAnsi="The Wave Sans TT"/>
                <w:sz w:val="18"/>
                <w:szCs w:val="18"/>
              </w:rPr>
            </w:pPr>
          </w:p>
          <w:p w14:paraId="299D15A7" w14:textId="06050615" w:rsidR="007E6208" w:rsidRPr="007E6208" w:rsidRDefault="007E6208" w:rsidP="00F268A4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he Wave Sans TT" w:hAnsi="The Wave Sans TT"/>
                <w:b/>
                <w:sz w:val="18"/>
                <w:szCs w:val="18"/>
              </w:rPr>
            </w:pPr>
            <w:r w:rsidRPr="007E6208">
              <w:rPr>
                <w:rFonts w:ascii="The Wave Sans TT" w:hAnsi="The Wave Sans TT"/>
                <w:sz w:val="18"/>
                <w:szCs w:val="18"/>
              </w:rPr>
              <w:t>Εμφανής η αλλαγή κουλτούρας στον Όμιλο. Σημαντική ανανέωση του ανθρώπινου δυναμικού και περαιτέρω βελτίωση των δομών λειτουργίας.</w:t>
            </w:r>
          </w:p>
          <w:p w14:paraId="7AEFF112" w14:textId="6BC20F21" w:rsidR="007E6208" w:rsidRPr="007E6208" w:rsidRDefault="007E6208" w:rsidP="007E6208">
            <w:pPr>
              <w:pStyle w:val="ListParagraph"/>
              <w:spacing w:after="200" w:line="240" w:lineRule="auto"/>
              <w:jc w:val="both"/>
              <w:rPr>
                <w:rFonts w:ascii="The Wave Sans TT" w:hAnsi="The Wave Sans TT"/>
                <w:b/>
                <w:sz w:val="18"/>
                <w:szCs w:val="18"/>
              </w:rPr>
            </w:pPr>
          </w:p>
        </w:tc>
      </w:tr>
    </w:tbl>
    <w:p w14:paraId="3C4448AC" w14:textId="58B44321" w:rsidR="00FE31E5" w:rsidRPr="006A4184" w:rsidRDefault="00164976" w:rsidP="002756FE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bookmarkStart w:id="0" w:name="_Hlk144143933"/>
      <w:bookmarkStart w:id="1" w:name="_GoBack"/>
      <w:r w:rsidRPr="0026228D">
        <w:rPr>
          <w:rFonts w:ascii="The Wave Sans TT" w:hAnsi="The Wave Sans TT" w:cs="Arial"/>
          <w:sz w:val="20"/>
          <w:szCs w:val="20"/>
        </w:rPr>
        <w:t xml:space="preserve">Η HELLENiQ ENERGY Holdings Α.Ε. («Εταιρεία») ανακοίνωσε τα </w:t>
      </w:r>
      <w:r w:rsidR="00617F36">
        <w:rPr>
          <w:rFonts w:ascii="The Wave Sans TT" w:hAnsi="The Wave Sans TT" w:cs="Arial"/>
          <w:sz w:val="20"/>
          <w:szCs w:val="20"/>
        </w:rPr>
        <w:t xml:space="preserve">ετήσια </w:t>
      </w:r>
      <w:r w:rsidRPr="0026228D">
        <w:rPr>
          <w:rFonts w:ascii="The Wave Sans TT" w:hAnsi="The Wave Sans TT" w:cs="Arial"/>
          <w:sz w:val="20"/>
          <w:szCs w:val="20"/>
        </w:rPr>
        <w:t xml:space="preserve">οικονομικά αποτελέσματα </w:t>
      </w:r>
      <w:r w:rsidR="00617F36">
        <w:rPr>
          <w:rFonts w:ascii="The Wave Sans TT" w:hAnsi="The Wave Sans TT" w:cs="Arial"/>
          <w:sz w:val="20"/>
          <w:szCs w:val="20"/>
        </w:rPr>
        <w:t xml:space="preserve">για το </w:t>
      </w:r>
      <w:r w:rsidRPr="0026228D">
        <w:rPr>
          <w:rFonts w:ascii="The Wave Sans TT" w:hAnsi="The Wave Sans TT" w:cs="Arial"/>
          <w:sz w:val="20"/>
          <w:szCs w:val="20"/>
        </w:rPr>
        <w:t>20</w:t>
      </w:r>
      <w:r w:rsidRPr="00344581">
        <w:rPr>
          <w:rFonts w:ascii="The Wave Sans TT" w:hAnsi="The Wave Sans TT" w:cs="Arial"/>
          <w:sz w:val="20"/>
          <w:szCs w:val="20"/>
        </w:rPr>
        <w:t>23, με</w:t>
      </w:r>
      <w:r w:rsidR="00617F36">
        <w:rPr>
          <w:rFonts w:ascii="The Wave Sans TT" w:hAnsi="The Wave Sans TT" w:cs="Arial"/>
          <w:sz w:val="20"/>
          <w:szCs w:val="20"/>
        </w:rPr>
        <w:t xml:space="preserve"> </w:t>
      </w:r>
      <w:r w:rsidR="00617F36" w:rsidRPr="006A4184">
        <w:rPr>
          <w:rFonts w:ascii="The Wave Sans TT" w:hAnsi="The Wave Sans TT" w:cs="Arial"/>
          <w:sz w:val="20"/>
          <w:szCs w:val="20"/>
        </w:rPr>
        <w:t>τα</w:t>
      </w:r>
      <w:r w:rsidR="00617F36" w:rsidRPr="00344581">
        <w:rPr>
          <w:rFonts w:ascii="The Wave Sans TT" w:hAnsi="The Wave Sans TT" w:cs="Arial"/>
          <w:b/>
          <w:sz w:val="20"/>
          <w:szCs w:val="20"/>
        </w:rPr>
        <w:t xml:space="preserve"> Συγκρίσιμα Κέρδη </w:t>
      </w:r>
      <w:r w:rsidR="00617F36" w:rsidRPr="00344581">
        <w:rPr>
          <w:rFonts w:ascii="The Wave Sans TT" w:hAnsi="The Wave Sans TT" w:cs="Arial"/>
          <w:b/>
          <w:sz w:val="20"/>
          <w:szCs w:val="20"/>
          <w:lang w:val="en-US"/>
        </w:rPr>
        <w:t>EBITDA</w:t>
      </w:r>
      <w:r w:rsidR="00617F36" w:rsidRPr="00344581">
        <w:rPr>
          <w:rFonts w:ascii="The Wave Sans TT" w:hAnsi="The Wave Sans TT" w:cs="Arial"/>
          <w:b/>
          <w:sz w:val="20"/>
          <w:szCs w:val="20"/>
        </w:rPr>
        <w:t xml:space="preserve"> </w:t>
      </w:r>
      <w:r w:rsidR="00CD2B72">
        <w:rPr>
          <w:rFonts w:ascii="The Wave Sans TT" w:hAnsi="The Wave Sans TT" w:cs="Arial"/>
          <w:b/>
          <w:sz w:val="20"/>
          <w:szCs w:val="20"/>
        </w:rPr>
        <w:t>να ανέρχονται</w:t>
      </w:r>
      <w:r w:rsidR="00617F36" w:rsidRPr="00344581">
        <w:rPr>
          <w:rFonts w:ascii="The Wave Sans TT" w:hAnsi="The Wave Sans TT" w:cs="Arial"/>
          <w:b/>
          <w:sz w:val="20"/>
          <w:szCs w:val="20"/>
        </w:rPr>
        <w:t xml:space="preserve"> σε €1</w:t>
      </w:r>
      <w:r w:rsidR="00617F36">
        <w:rPr>
          <w:rFonts w:ascii="The Wave Sans TT" w:hAnsi="The Wave Sans TT" w:cs="Arial"/>
          <w:b/>
          <w:sz w:val="20"/>
          <w:szCs w:val="20"/>
        </w:rPr>
        <w:t>.</w:t>
      </w:r>
      <w:r w:rsidR="00617F36" w:rsidRPr="00344581">
        <w:rPr>
          <w:rFonts w:ascii="The Wave Sans TT" w:hAnsi="The Wave Sans TT" w:cs="Arial"/>
          <w:b/>
          <w:sz w:val="20"/>
          <w:szCs w:val="20"/>
        </w:rPr>
        <w:t>237 εκατ. και τα Συγκρίσιμα Καθαρά Κέρδη σε €60</w:t>
      </w:r>
      <w:r w:rsidR="00617F36">
        <w:rPr>
          <w:rFonts w:ascii="The Wave Sans TT" w:hAnsi="The Wave Sans TT" w:cs="Arial"/>
          <w:b/>
          <w:sz w:val="20"/>
          <w:szCs w:val="20"/>
        </w:rPr>
        <w:t>6</w:t>
      </w:r>
      <w:r w:rsidR="00617F36" w:rsidRPr="00344581">
        <w:rPr>
          <w:rFonts w:ascii="The Wave Sans TT" w:hAnsi="The Wave Sans TT" w:cs="Arial"/>
          <w:b/>
          <w:sz w:val="20"/>
          <w:szCs w:val="20"/>
        </w:rPr>
        <w:t xml:space="preserve"> εκατ.</w:t>
      </w:r>
      <w:r w:rsidR="006A4184" w:rsidRPr="006A4184">
        <w:rPr>
          <w:rFonts w:ascii="The Wave Sans TT" w:hAnsi="The Wave Sans TT" w:cs="Arial"/>
          <w:b/>
          <w:sz w:val="20"/>
          <w:szCs w:val="20"/>
        </w:rPr>
        <w:t>.</w:t>
      </w:r>
    </w:p>
    <w:p w14:paraId="22A4B5AB" w14:textId="05AC330D" w:rsidR="002756FE" w:rsidRPr="00D75A1E" w:rsidRDefault="00D75A1E" w:rsidP="002756FE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D75A1E">
        <w:rPr>
          <w:rFonts w:ascii="The Wave Sans TT" w:hAnsi="The Wave Sans TT" w:cs="Arial"/>
          <w:sz w:val="20"/>
          <w:szCs w:val="20"/>
        </w:rPr>
        <w:t>Σημαντικοί παράγοντες που συνετέλεσαν στην επίδοση αυτή ήταν τ</w:t>
      </w:r>
      <w:r w:rsidR="00617F36">
        <w:rPr>
          <w:rFonts w:ascii="The Wave Sans TT" w:hAnsi="The Wave Sans TT" w:cs="Arial"/>
          <w:sz w:val="20"/>
          <w:szCs w:val="20"/>
        </w:rPr>
        <w:t>ο θετικό διεθνές περιβάλλον διύλισης</w:t>
      </w:r>
      <w:r w:rsidRPr="00D75A1E">
        <w:rPr>
          <w:rFonts w:ascii="The Wave Sans TT" w:hAnsi="The Wave Sans TT" w:cs="Arial"/>
          <w:sz w:val="20"/>
          <w:szCs w:val="20"/>
        </w:rPr>
        <w:t xml:space="preserve">, η βελτίωση της λειτουργικής απόδοσης των </w:t>
      </w:r>
      <w:r w:rsidR="00FE31E5" w:rsidRPr="00D75A1E">
        <w:rPr>
          <w:rFonts w:ascii="The Wave Sans TT" w:hAnsi="The Wave Sans TT" w:cs="Arial"/>
          <w:sz w:val="20"/>
          <w:szCs w:val="20"/>
        </w:rPr>
        <w:t>διυλιστηρίων</w:t>
      </w:r>
      <w:r w:rsidR="00E13F2C" w:rsidRPr="00E13F2C">
        <w:rPr>
          <w:rFonts w:ascii="The Wave Sans TT" w:hAnsi="The Wave Sans TT" w:cs="Arial"/>
          <w:sz w:val="20"/>
          <w:szCs w:val="20"/>
        </w:rPr>
        <w:t>,</w:t>
      </w:r>
      <w:r w:rsidRPr="00D75A1E">
        <w:rPr>
          <w:rFonts w:ascii="The Wave Sans TT" w:hAnsi="The Wave Sans TT" w:cs="Arial"/>
          <w:sz w:val="20"/>
          <w:szCs w:val="20"/>
        </w:rPr>
        <w:t xml:space="preserve"> με </w:t>
      </w:r>
      <w:r w:rsidR="00836271" w:rsidRPr="00D75A1E">
        <w:rPr>
          <w:rFonts w:ascii="The Wave Sans TT" w:hAnsi="The Wave Sans TT" w:cs="Arial"/>
          <w:sz w:val="20"/>
          <w:szCs w:val="20"/>
        </w:rPr>
        <w:t>αυξημένη διαθεσιμότητα μονάδων</w:t>
      </w:r>
      <w:r w:rsidR="00FE31E5" w:rsidRPr="00D75A1E">
        <w:rPr>
          <w:rFonts w:ascii="The Wave Sans TT" w:hAnsi="The Wave Sans TT" w:cs="Arial"/>
          <w:sz w:val="20"/>
          <w:szCs w:val="20"/>
        </w:rPr>
        <w:t xml:space="preserve">, </w:t>
      </w:r>
      <w:r w:rsidR="00CD2B72">
        <w:rPr>
          <w:rFonts w:ascii="The Wave Sans TT" w:hAnsi="The Wave Sans TT" w:cs="Arial"/>
          <w:sz w:val="20"/>
          <w:szCs w:val="20"/>
        </w:rPr>
        <w:t>η</w:t>
      </w:r>
      <w:r w:rsidRPr="00D75A1E">
        <w:rPr>
          <w:rFonts w:ascii="The Wave Sans TT" w:hAnsi="The Wave Sans TT" w:cs="Arial"/>
          <w:sz w:val="20"/>
          <w:szCs w:val="20"/>
        </w:rPr>
        <w:t xml:space="preserve"> </w:t>
      </w:r>
      <w:r w:rsidR="00617F36">
        <w:rPr>
          <w:rFonts w:ascii="The Wave Sans TT" w:hAnsi="The Wave Sans TT" w:cs="Arial"/>
          <w:sz w:val="20"/>
          <w:szCs w:val="20"/>
        </w:rPr>
        <w:t>αύξηση των εξαγωγών και των δραστηριοτήτων του εξωτερικού</w:t>
      </w:r>
      <w:r w:rsidR="00FE31E5" w:rsidRPr="00D75A1E">
        <w:rPr>
          <w:rFonts w:ascii="The Wave Sans TT" w:hAnsi="The Wave Sans TT" w:cs="Arial"/>
          <w:sz w:val="20"/>
          <w:szCs w:val="20"/>
        </w:rPr>
        <w:t xml:space="preserve">, αλλά και </w:t>
      </w:r>
      <w:r w:rsidRPr="00D75A1E">
        <w:rPr>
          <w:rFonts w:ascii="The Wave Sans TT" w:hAnsi="The Wave Sans TT" w:cs="Arial"/>
          <w:sz w:val="20"/>
          <w:szCs w:val="20"/>
        </w:rPr>
        <w:t xml:space="preserve">η </w:t>
      </w:r>
      <w:r w:rsidR="00836271" w:rsidRPr="00D75A1E">
        <w:rPr>
          <w:rFonts w:ascii="The Wave Sans TT" w:hAnsi="The Wave Sans TT" w:cs="Arial"/>
          <w:sz w:val="20"/>
          <w:szCs w:val="20"/>
        </w:rPr>
        <w:t>υψηλότερη συνεισφορά από τον τομέα των ΑΠΕ</w:t>
      </w:r>
      <w:r w:rsidR="00FE31E5" w:rsidRPr="00D75A1E">
        <w:rPr>
          <w:rFonts w:ascii="The Wave Sans TT" w:hAnsi="The Wave Sans TT" w:cs="Arial"/>
          <w:sz w:val="20"/>
          <w:szCs w:val="20"/>
        </w:rPr>
        <w:t>.</w:t>
      </w:r>
    </w:p>
    <w:p w14:paraId="23DA2A07" w14:textId="77777777" w:rsidR="00164976" w:rsidRPr="00D75A1E" w:rsidRDefault="00836271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D75A1E">
        <w:rPr>
          <w:rFonts w:ascii="The Wave Sans TT" w:hAnsi="The Wave Sans TT" w:cs="Arial"/>
          <w:sz w:val="20"/>
          <w:szCs w:val="20"/>
        </w:rPr>
        <w:t xml:space="preserve">Η 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παραγωγή </w:t>
      </w:r>
      <w:r w:rsidR="00925636">
        <w:rPr>
          <w:rFonts w:ascii="The Wave Sans TT" w:hAnsi="The Wave Sans TT" w:cs="Arial"/>
          <w:sz w:val="20"/>
          <w:szCs w:val="20"/>
        </w:rPr>
        <w:t>προϊόντων</w:t>
      </w:r>
      <w:r w:rsidR="00925636" w:rsidRPr="00D75A1E">
        <w:rPr>
          <w:rFonts w:ascii="The Wave Sans TT" w:hAnsi="The Wave Sans TT" w:cs="Arial"/>
          <w:sz w:val="20"/>
          <w:szCs w:val="20"/>
        </w:rPr>
        <w:t xml:space="preserve"> </w:t>
      </w:r>
      <w:r w:rsidR="006400EA" w:rsidRPr="00D75A1E">
        <w:rPr>
          <w:rFonts w:ascii="The Wave Sans TT" w:hAnsi="The Wave Sans TT" w:cs="Arial"/>
          <w:sz w:val="20"/>
          <w:szCs w:val="20"/>
        </w:rPr>
        <w:t xml:space="preserve">για το σύνολο του 2023 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αυξήθηκε κατά </w:t>
      </w:r>
      <w:r w:rsidR="006400EA" w:rsidRPr="00D75A1E">
        <w:rPr>
          <w:rFonts w:ascii="The Wave Sans TT" w:hAnsi="The Wave Sans TT" w:cs="Arial"/>
          <w:sz w:val="20"/>
          <w:szCs w:val="20"/>
        </w:rPr>
        <w:t>13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% στους </w:t>
      </w:r>
      <w:r w:rsidR="006400EA" w:rsidRPr="00D75A1E">
        <w:rPr>
          <w:rFonts w:ascii="The Wave Sans TT" w:hAnsi="The Wave Sans TT" w:cs="Arial"/>
          <w:sz w:val="20"/>
          <w:szCs w:val="20"/>
        </w:rPr>
        <w:t>14,6</w:t>
      </w:r>
      <w:r w:rsidR="00164976" w:rsidRPr="00D75A1E">
        <w:rPr>
          <w:rFonts w:ascii="The Wave Sans TT" w:hAnsi="The Wave Sans TT" w:cs="Arial"/>
          <w:sz w:val="20"/>
          <w:szCs w:val="20"/>
        </w:rPr>
        <w:t xml:space="preserve"> εκατ. τόνους</w:t>
      </w:r>
      <w:r w:rsidRPr="00D75A1E">
        <w:rPr>
          <w:rFonts w:ascii="The Wave Sans TT" w:hAnsi="The Wave Sans TT" w:cs="Arial"/>
          <w:sz w:val="20"/>
          <w:szCs w:val="20"/>
        </w:rPr>
        <w:t xml:space="preserve"> και 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οι πωλήσεις διαμορφώθηκαν στους </w:t>
      </w:r>
      <w:r w:rsidR="006400EA" w:rsidRPr="00D75A1E">
        <w:rPr>
          <w:rFonts w:ascii="The Wave Sans TT" w:hAnsi="The Wave Sans TT" w:cs="Arial"/>
          <w:sz w:val="20"/>
          <w:szCs w:val="20"/>
        </w:rPr>
        <w:t>15,5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 εκατ. τόνους</w:t>
      </w:r>
      <w:r w:rsidR="00164976" w:rsidRPr="00D75A1E">
        <w:rPr>
          <w:rFonts w:ascii="The Wave Sans TT" w:hAnsi="The Wave Sans TT" w:cs="Arial"/>
          <w:sz w:val="20"/>
          <w:szCs w:val="20"/>
        </w:rPr>
        <w:t xml:space="preserve">, με τις εξαγωγές να </w:t>
      </w:r>
      <w:r w:rsidR="008339D5" w:rsidRPr="00D75A1E">
        <w:rPr>
          <w:rFonts w:ascii="The Wave Sans TT" w:hAnsi="The Wave Sans TT" w:cs="Arial"/>
          <w:sz w:val="20"/>
          <w:szCs w:val="20"/>
        </w:rPr>
        <w:t xml:space="preserve">ανέρχονται </w:t>
      </w:r>
      <w:r w:rsidR="00CE4A92" w:rsidRPr="00D75A1E">
        <w:rPr>
          <w:rFonts w:ascii="The Wave Sans TT" w:hAnsi="The Wave Sans TT" w:cs="Arial"/>
          <w:sz w:val="20"/>
          <w:szCs w:val="20"/>
        </w:rPr>
        <w:t>στ</w:t>
      </w:r>
      <w:r w:rsidR="00164976" w:rsidRPr="00D75A1E">
        <w:rPr>
          <w:rFonts w:ascii="The Wave Sans TT" w:hAnsi="The Wave Sans TT" w:cs="Arial"/>
          <w:sz w:val="20"/>
          <w:szCs w:val="20"/>
        </w:rPr>
        <w:t xml:space="preserve">ο </w:t>
      </w:r>
      <w:r w:rsidR="006400EA" w:rsidRPr="00D75A1E">
        <w:rPr>
          <w:rFonts w:ascii="The Wave Sans TT" w:hAnsi="The Wave Sans TT" w:cs="Arial"/>
          <w:sz w:val="20"/>
          <w:szCs w:val="20"/>
        </w:rPr>
        <w:t>54</w:t>
      </w:r>
      <w:r w:rsidR="00CE4A92" w:rsidRPr="00D75A1E">
        <w:rPr>
          <w:rFonts w:ascii="The Wave Sans TT" w:hAnsi="The Wave Sans TT" w:cs="Arial"/>
          <w:sz w:val="20"/>
          <w:szCs w:val="20"/>
        </w:rPr>
        <w:t xml:space="preserve">% </w:t>
      </w:r>
      <w:r w:rsidR="00164976" w:rsidRPr="00D75A1E">
        <w:rPr>
          <w:rFonts w:ascii="The Wave Sans TT" w:hAnsi="The Wave Sans TT" w:cs="Arial"/>
          <w:sz w:val="20"/>
          <w:szCs w:val="20"/>
        </w:rPr>
        <w:t>των συνολικών όγκων</w:t>
      </w:r>
      <w:r w:rsidR="005255D9">
        <w:rPr>
          <w:rFonts w:ascii="The Wave Sans TT" w:hAnsi="The Wave Sans TT" w:cs="Arial"/>
          <w:sz w:val="20"/>
          <w:szCs w:val="20"/>
        </w:rPr>
        <w:t>, μια από τις υψηλότερες επιδόσεις στην ιστορία του Ομίλου</w:t>
      </w:r>
      <w:r w:rsidR="002F2920">
        <w:rPr>
          <w:rFonts w:ascii="The Wave Sans TT" w:hAnsi="The Wave Sans TT" w:cs="Arial"/>
          <w:sz w:val="20"/>
          <w:szCs w:val="20"/>
        </w:rPr>
        <w:t>.</w:t>
      </w:r>
      <w:r w:rsidR="005255D9">
        <w:rPr>
          <w:rFonts w:ascii="The Wave Sans TT" w:hAnsi="The Wave Sans TT" w:cs="Arial"/>
          <w:sz w:val="20"/>
          <w:szCs w:val="20"/>
        </w:rPr>
        <w:t xml:space="preserve"> </w:t>
      </w:r>
    </w:p>
    <w:p w14:paraId="038B1E45" w14:textId="5BFD50E4" w:rsidR="00B33A0F" w:rsidRPr="00675B54" w:rsidRDefault="00617F36" w:rsidP="00164976">
      <w:pPr>
        <w:spacing w:after="120"/>
        <w:jc w:val="both"/>
        <w:rPr>
          <w:rFonts w:ascii="The Wave Sans TT" w:hAnsi="The Wave Sans TT" w:cs="Arial"/>
          <w:color w:val="FF0000"/>
          <w:sz w:val="20"/>
          <w:szCs w:val="20"/>
        </w:rPr>
      </w:pPr>
      <w:r>
        <w:rPr>
          <w:rFonts w:ascii="The Wave Sans TT" w:hAnsi="The Wave Sans TT" w:cs="Arial"/>
          <w:sz w:val="20"/>
          <w:szCs w:val="20"/>
        </w:rPr>
        <w:t xml:space="preserve">Μέσα στο 2023, η πτώση στις τιμές αργού και προϊόντων </w:t>
      </w:r>
      <w:proofErr w:type="spellStart"/>
      <w:r>
        <w:rPr>
          <w:rFonts w:ascii="The Wave Sans TT" w:hAnsi="The Wave Sans TT" w:cs="Arial"/>
          <w:sz w:val="20"/>
          <w:szCs w:val="20"/>
        </w:rPr>
        <w:t>επ</w:t>
      </w:r>
      <w:r w:rsidR="007016EE">
        <w:rPr>
          <w:rFonts w:ascii="The Wave Sans TT" w:hAnsi="The Wave Sans TT" w:cs="Arial"/>
          <w:sz w:val="20"/>
          <w:szCs w:val="20"/>
        </w:rPr>
        <w:t>έ</w:t>
      </w:r>
      <w:r>
        <w:rPr>
          <w:rFonts w:ascii="The Wave Sans TT" w:hAnsi="The Wave Sans TT" w:cs="Arial"/>
          <w:sz w:val="20"/>
          <w:szCs w:val="20"/>
        </w:rPr>
        <w:t>δρασε</w:t>
      </w:r>
      <w:proofErr w:type="spellEnd"/>
      <w:r>
        <w:rPr>
          <w:rFonts w:ascii="The Wave Sans TT" w:hAnsi="The Wave Sans TT" w:cs="Arial"/>
          <w:sz w:val="20"/>
          <w:szCs w:val="20"/>
        </w:rPr>
        <w:t xml:space="preserve"> αρνητικά </w:t>
      </w:r>
      <w:r w:rsidR="006D5D19">
        <w:rPr>
          <w:rFonts w:ascii="The Wave Sans TT" w:hAnsi="The Wave Sans TT" w:cs="Arial"/>
          <w:sz w:val="20"/>
          <w:szCs w:val="20"/>
        </w:rPr>
        <w:t xml:space="preserve">στην αποτίμηση αποθεμάτων και </w:t>
      </w:r>
      <w:r>
        <w:rPr>
          <w:rFonts w:ascii="The Wave Sans TT" w:hAnsi="The Wave Sans TT" w:cs="Arial"/>
          <w:sz w:val="20"/>
          <w:szCs w:val="20"/>
        </w:rPr>
        <w:t>στη</w:t>
      </w:r>
      <w:r w:rsidR="00CD2B72">
        <w:rPr>
          <w:rFonts w:ascii="The Wave Sans TT" w:hAnsi="The Wave Sans TT" w:cs="Arial"/>
          <w:sz w:val="20"/>
          <w:szCs w:val="20"/>
        </w:rPr>
        <w:t>ν</w:t>
      </w:r>
      <w:r>
        <w:rPr>
          <w:rFonts w:ascii="The Wave Sans TT" w:hAnsi="The Wave Sans TT" w:cs="Arial"/>
          <w:sz w:val="20"/>
          <w:szCs w:val="20"/>
        </w:rPr>
        <w:t xml:space="preserve"> κερδοφορία</w:t>
      </w:r>
      <w:r w:rsidR="006D5D19">
        <w:rPr>
          <w:rFonts w:ascii="The Wave Sans TT" w:hAnsi="The Wave Sans TT" w:cs="Arial"/>
          <w:sz w:val="20"/>
          <w:szCs w:val="20"/>
        </w:rPr>
        <w:t>, περιορίζοντας</w:t>
      </w:r>
      <w:r w:rsidR="006A4184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6D5D19">
        <w:rPr>
          <w:rFonts w:ascii="The Wave Sans TT" w:hAnsi="The Wave Sans TT" w:cs="Arial"/>
          <w:sz w:val="20"/>
          <w:szCs w:val="20"/>
        </w:rPr>
        <w:t>τα</w:t>
      </w:r>
      <w:r>
        <w:rPr>
          <w:rFonts w:ascii="The Wave Sans TT" w:hAnsi="The Wave Sans TT" w:cs="Arial"/>
          <w:sz w:val="20"/>
          <w:szCs w:val="20"/>
        </w:rPr>
        <w:t xml:space="preserve"> </w:t>
      </w:r>
      <w:r w:rsidR="00B33A0F" w:rsidRPr="00D75A1E">
        <w:rPr>
          <w:rFonts w:ascii="The Wave Sans TT" w:hAnsi="The Wave Sans TT" w:cs="Arial"/>
          <w:sz w:val="20"/>
          <w:szCs w:val="20"/>
        </w:rPr>
        <w:t xml:space="preserve">Δημοσιευμένα Καθαρά Κέρδη </w:t>
      </w:r>
      <w:r w:rsidR="006D5D19">
        <w:rPr>
          <w:rFonts w:ascii="The Wave Sans TT" w:hAnsi="The Wave Sans TT" w:cs="Arial"/>
          <w:sz w:val="20"/>
          <w:szCs w:val="20"/>
        </w:rPr>
        <w:t xml:space="preserve">στα </w:t>
      </w:r>
      <w:r w:rsidR="00B33A0F" w:rsidRPr="00D75A1E">
        <w:rPr>
          <w:rFonts w:ascii="The Wave Sans TT" w:hAnsi="The Wave Sans TT" w:cs="Arial"/>
          <w:sz w:val="20"/>
          <w:szCs w:val="20"/>
        </w:rPr>
        <w:t>€</w:t>
      </w:r>
      <w:r w:rsidR="00D75A1E" w:rsidRPr="00D75A1E">
        <w:rPr>
          <w:rFonts w:ascii="The Wave Sans TT" w:hAnsi="The Wave Sans TT" w:cs="Arial"/>
          <w:sz w:val="20"/>
          <w:szCs w:val="20"/>
        </w:rPr>
        <w:t>4</w:t>
      </w:r>
      <w:r w:rsidR="00297721" w:rsidRPr="00297721">
        <w:rPr>
          <w:rFonts w:ascii="The Wave Sans TT" w:hAnsi="The Wave Sans TT" w:cs="Arial"/>
          <w:sz w:val="20"/>
          <w:szCs w:val="20"/>
        </w:rPr>
        <w:t>7</w:t>
      </w:r>
      <w:r w:rsidR="00847A08">
        <w:rPr>
          <w:rFonts w:ascii="The Wave Sans TT" w:hAnsi="The Wave Sans TT" w:cs="Arial"/>
          <w:sz w:val="20"/>
          <w:szCs w:val="20"/>
        </w:rPr>
        <w:t>8</w:t>
      </w:r>
      <w:r w:rsidR="00B33A0F" w:rsidRPr="00D75A1E">
        <w:rPr>
          <w:rFonts w:ascii="The Wave Sans TT" w:hAnsi="The Wave Sans TT" w:cs="Arial"/>
          <w:sz w:val="20"/>
          <w:szCs w:val="20"/>
        </w:rPr>
        <w:t xml:space="preserve"> εκατ.</w:t>
      </w:r>
      <w:r w:rsidR="00263BFD" w:rsidRPr="00D75A1E">
        <w:rPr>
          <w:rFonts w:ascii="The Wave Sans TT" w:hAnsi="The Wave Sans TT" w:cs="Arial"/>
          <w:sz w:val="20"/>
          <w:szCs w:val="20"/>
        </w:rPr>
        <w:t>.</w:t>
      </w:r>
      <w:r w:rsidR="00263BFD" w:rsidRPr="00675B54">
        <w:rPr>
          <w:rFonts w:ascii="The Wave Sans TT" w:hAnsi="The Wave Sans TT" w:cs="Arial"/>
          <w:color w:val="FF0000"/>
          <w:sz w:val="20"/>
          <w:szCs w:val="20"/>
        </w:rPr>
        <w:t xml:space="preserve"> </w:t>
      </w:r>
    </w:p>
    <w:p w14:paraId="0B14FABC" w14:textId="7FCD6697" w:rsidR="00C22233" w:rsidRPr="0026228D" w:rsidRDefault="00617F36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>
        <w:rPr>
          <w:rFonts w:ascii="The Wave Sans TT" w:hAnsi="The Wave Sans TT" w:cs="Arial"/>
          <w:sz w:val="20"/>
          <w:szCs w:val="20"/>
        </w:rPr>
        <w:t xml:space="preserve">Λαμβάνοντας </w:t>
      </w:r>
      <w:r w:rsidR="003E0162">
        <w:rPr>
          <w:rFonts w:ascii="The Wave Sans TT" w:hAnsi="The Wave Sans TT" w:cs="Arial"/>
          <w:sz w:val="20"/>
          <w:szCs w:val="20"/>
        </w:rPr>
        <w:t xml:space="preserve">υπόψη </w:t>
      </w:r>
      <w:r>
        <w:rPr>
          <w:rFonts w:ascii="The Wave Sans TT" w:hAnsi="The Wave Sans TT" w:cs="Arial"/>
          <w:sz w:val="20"/>
          <w:szCs w:val="20"/>
        </w:rPr>
        <w:t>τη</w:t>
      </w:r>
      <w:r w:rsidR="00CD2B72">
        <w:rPr>
          <w:rFonts w:ascii="The Wave Sans TT" w:hAnsi="The Wave Sans TT" w:cs="Arial"/>
          <w:sz w:val="20"/>
          <w:szCs w:val="20"/>
        </w:rPr>
        <w:t>ν</w:t>
      </w:r>
      <w:r>
        <w:rPr>
          <w:rFonts w:ascii="The Wave Sans TT" w:hAnsi="The Wave Sans TT" w:cs="Arial"/>
          <w:sz w:val="20"/>
          <w:szCs w:val="20"/>
        </w:rPr>
        <w:t xml:space="preserve"> πολύ καλή επίδοση αλλά και τις προοπτικές της Εταιρ</w:t>
      </w:r>
      <w:r w:rsidR="007016EE">
        <w:rPr>
          <w:rFonts w:ascii="The Wave Sans TT" w:hAnsi="The Wave Sans TT" w:cs="Arial"/>
          <w:sz w:val="20"/>
          <w:szCs w:val="20"/>
        </w:rPr>
        <w:t>ε</w:t>
      </w:r>
      <w:r>
        <w:rPr>
          <w:rFonts w:ascii="The Wave Sans TT" w:hAnsi="The Wave Sans TT" w:cs="Arial"/>
          <w:sz w:val="20"/>
          <w:szCs w:val="20"/>
        </w:rPr>
        <w:t>ίας, τ</w:t>
      </w:r>
      <w:r w:rsidR="00C22233" w:rsidRPr="0026228D">
        <w:rPr>
          <w:rFonts w:ascii="The Wave Sans TT" w:hAnsi="The Wave Sans TT" w:cs="Arial"/>
          <w:sz w:val="20"/>
          <w:szCs w:val="20"/>
        </w:rPr>
        <w:t xml:space="preserve">ο </w:t>
      </w:r>
      <w:r w:rsidR="0026228D" w:rsidRPr="0026228D">
        <w:rPr>
          <w:rFonts w:ascii="The Wave Sans TT" w:hAnsi="The Wave Sans TT" w:cs="Arial"/>
          <w:sz w:val="20"/>
          <w:szCs w:val="20"/>
        </w:rPr>
        <w:t xml:space="preserve">Διοικητικό Συμβούλιο </w:t>
      </w:r>
      <w:r w:rsidR="00C22233" w:rsidRPr="0026228D">
        <w:rPr>
          <w:rFonts w:ascii="The Wave Sans TT" w:hAnsi="The Wave Sans TT" w:cs="Arial"/>
          <w:sz w:val="20"/>
          <w:szCs w:val="20"/>
        </w:rPr>
        <w:t>αποφά</w:t>
      </w:r>
      <w:r w:rsidR="005F5C5A" w:rsidRPr="0026228D">
        <w:rPr>
          <w:rFonts w:ascii="The Wave Sans TT" w:hAnsi="The Wave Sans TT" w:cs="Arial"/>
          <w:sz w:val="20"/>
          <w:szCs w:val="20"/>
        </w:rPr>
        <w:t>σ</w:t>
      </w:r>
      <w:r w:rsidR="00C22233" w:rsidRPr="0026228D">
        <w:rPr>
          <w:rFonts w:ascii="The Wave Sans TT" w:hAnsi="The Wave Sans TT" w:cs="Arial"/>
          <w:sz w:val="20"/>
          <w:szCs w:val="20"/>
        </w:rPr>
        <w:t xml:space="preserve">ισε </w:t>
      </w:r>
      <w:r w:rsidR="0026228D" w:rsidRPr="0026228D">
        <w:rPr>
          <w:rFonts w:ascii="The Wave Sans TT" w:hAnsi="The Wave Sans TT" w:cs="Arial"/>
          <w:sz w:val="20"/>
          <w:szCs w:val="20"/>
        </w:rPr>
        <w:t xml:space="preserve">να προτείνει στη Γενική Συνέλευση </w:t>
      </w:r>
      <w:r w:rsidR="00C22233" w:rsidRPr="0026228D">
        <w:rPr>
          <w:rFonts w:ascii="The Wave Sans TT" w:hAnsi="The Wave Sans TT" w:cs="Arial"/>
          <w:sz w:val="20"/>
          <w:szCs w:val="20"/>
        </w:rPr>
        <w:t>τη δια</w:t>
      </w:r>
      <w:r w:rsidR="005F5C5A" w:rsidRPr="0026228D">
        <w:rPr>
          <w:rFonts w:ascii="The Wave Sans TT" w:hAnsi="The Wave Sans TT" w:cs="Arial"/>
          <w:sz w:val="20"/>
          <w:szCs w:val="20"/>
        </w:rPr>
        <w:t>ν</w:t>
      </w:r>
      <w:r w:rsidR="00C22233" w:rsidRPr="0026228D">
        <w:rPr>
          <w:rFonts w:ascii="The Wave Sans TT" w:hAnsi="The Wave Sans TT" w:cs="Arial"/>
          <w:sz w:val="20"/>
          <w:szCs w:val="20"/>
        </w:rPr>
        <w:t xml:space="preserve">ομή </w:t>
      </w:r>
      <w:r w:rsidR="0026228D" w:rsidRPr="0026228D">
        <w:rPr>
          <w:rFonts w:ascii="The Wave Sans TT" w:hAnsi="The Wave Sans TT" w:cs="Arial"/>
          <w:sz w:val="20"/>
          <w:szCs w:val="20"/>
        </w:rPr>
        <w:t xml:space="preserve">τελικού </w:t>
      </w:r>
      <w:r w:rsidR="00C22233" w:rsidRPr="0026228D">
        <w:rPr>
          <w:rFonts w:ascii="The Wave Sans TT" w:hAnsi="The Wave Sans TT" w:cs="Arial"/>
          <w:sz w:val="20"/>
          <w:szCs w:val="20"/>
        </w:rPr>
        <w:t>μερίσματος</w:t>
      </w:r>
      <w:r w:rsidR="00E6487D" w:rsidRPr="0026228D">
        <w:rPr>
          <w:rFonts w:ascii="The Wave Sans TT" w:hAnsi="The Wave Sans TT" w:cs="Arial"/>
          <w:sz w:val="20"/>
          <w:szCs w:val="20"/>
        </w:rPr>
        <w:t xml:space="preserve"> €</w:t>
      </w:r>
      <w:r w:rsidR="00E6487D" w:rsidRPr="000A1EB2">
        <w:rPr>
          <w:rFonts w:ascii="The Wave Sans TT" w:hAnsi="The Wave Sans TT" w:cs="Arial"/>
          <w:sz w:val="20"/>
          <w:szCs w:val="20"/>
        </w:rPr>
        <w:t>0,</w:t>
      </w:r>
      <w:r w:rsidR="006400EA" w:rsidRPr="000A1EB2">
        <w:rPr>
          <w:rFonts w:ascii="The Wave Sans TT" w:hAnsi="The Wave Sans TT" w:cs="Arial"/>
          <w:sz w:val="20"/>
          <w:szCs w:val="20"/>
        </w:rPr>
        <w:t>6</w:t>
      </w:r>
      <w:r w:rsidR="00E6487D" w:rsidRPr="000A1EB2">
        <w:rPr>
          <w:rFonts w:ascii="The Wave Sans TT" w:hAnsi="The Wave Sans TT" w:cs="Arial"/>
          <w:sz w:val="20"/>
          <w:szCs w:val="20"/>
        </w:rPr>
        <w:t>0 ανά μετοχή</w:t>
      </w:r>
      <w:r w:rsidR="006D5D19">
        <w:rPr>
          <w:rFonts w:ascii="The Wave Sans TT" w:hAnsi="The Wave Sans TT" w:cs="Arial"/>
          <w:sz w:val="20"/>
          <w:szCs w:val="20"/>
        </w:rPr>
        <w:t xml:space="preserve">. Έτσι, </w:t>
      </w:r>
      <w:r w:rsidR="0026228D" w:rsidRPr="000A1EB2">
        <w:rPr>
          <w:rFonts w:ascii="The Wave Sans TT" w:hAnsi="The Wave Sans TT" w:cs="Arial"/>
          <w:sz w:val="20"/>
          <w:szCs w:val="20"/>
        </w:rPr>
        <w:t xml:space="preserve">το </w:t>
      </w:r>
      <w:r w:rsidR="0026228D" w:rsidRPr="000A1EB2">
        <w:rPr>
          <w:rFonts w:ascii="The Wave Sans TT" w:hAnsi="The Wave Sans TT" w:cs="Arial"/>
          <w:b/>
          <w:sz w:val="20"/>
          <w:szCs w:val="20"/>
        </w:rPr>
        <w:t xml:space="preserve">συνολικό μέρισμα </w:t>
      </w:r>
      <w:r w:rsidR="006D5D19">
        <w:rPr>
          <w:rFonts w:ascii="The Wave Sans TT" w:hAnsi="The Wave Sans TT" w:cs="Arial"/>
          <w:b/>
          <w:sz w:val="20"/>
          <w:szCs w:val="20"/>
        </w:rPr>
        <w:t xml:space="preserve">διαμορφώνεται </w:t>
      </w:r>
      <w:r w:rsidR="0026228D" w:rsidRPr="000A1EB2">
        <w:rPr>
          <w:rFonts w:ascii="The Wave Sans TT" w:hAnsi="The Wave Sans TT" w:cs="Arial"/>
          <w:b/>
          <w:sz w:val="20"/>
          <w:szCs w:val="20"/>
        </w:rPr>
        <w:t>στα €0,</w:t>
      </w:r>
      <w:r w:rsidR="006400EA" w:rsidRPr="000A1EB2">
        <w:rPr>
          <w:rFonts w:ascii="The Wave Sans TT" w:hAnsi="The Wave Sans TT" w:cs="Arial"/>
          <w:b/>
          <w:sz w:val="20"/>
          <w:szCs w:val="20"/>
        </w:rPr>
        <w:t>9</w:t>
      </w:r>
      <w:r w:rsidR="0026228D" w:rsidRPr="000A1EB2">
        <w:rPr>
          <w:rFonts w:ascii="The Wave Sans TT" w:hAnsi="The Wave Sans TT" w:cs="Arial"/>
          <w:b/>
          <w:sz w:val="20"/>
          <w:szCs w:val="20"/>
        </w:rPr>
        <w:t xml:space="preserve">0 ανά </w:t>
      </w:r>
      <w:r w:rsidR="0026228D" w:rsidRPr="0026228D">
        <w:rPr>
          <w:rFonts w:ascii="The Wave Sans TT" w:hAnsi="The Wave Sans TT" w:cs="Arial"/>
          <w:b/>
          <w:sz w:val="20"/>
          <w:szCs w:val="20"/>
        </w:rPr>
        <w:t>μετοχή</w:t>
      </w:r>
      <w:r w:rsidR="0026228D" w:rsidRPr="0026228D">
        <w:rPr>
          <w:rFonts w:ascii="The Wave Sans TT" w:hAnsi="The Wave Sans TT" w:cs="Arial"/>
          <w:sz w:val="20"/>
          <w:szCs w:val="20"/>
        </w:rPr>
        <w:t xml:space="preserve">, </w:t>
      </w:r>
      <w:r w:rsidR="00D243F7">
        <w:rPr>
          <w:rFonts w:ascii="The Wave Sans TT" w:hAnsi="The Wave Sans TT" w:cs="Arial"/>
          <w:sz w:val="20"/>
          <w:szCs w:val="20"/>
        </w:rPr>
        <w:t>λαμβάνοντας υπόψη</w:t>
      </w:r>
      <w:r w:rsidR="00D243F7" w:rsidRPr="0026228D">
        <w:rPr>
          <w:rFonts w:ascii="The Wave Sans TT" w:hAnsi="The Wave Sans TT" w:cs="Arial"/>
          <w:sz w:val="20"/>
          <w:szCs w:val="20"/>
        </w:rPr>
        <w:t xml:space="preserve"> </w:t>
      </w:r>
      <w:r w:rsidR="0026228D" w:rsidRPr="0026228D">
        <w:rPr>
          <w:rFonts w:ascii="The Wave Sans TT" w:hAnsi="The Wave Sans TT" w:cs="Arial"/>
          <w:sz w:val="20"/>
          <w:szCs w:val="20"/>
        </w:rPr>
        <w:t>και το προσωρινό μέρισμα €0,30 ανά μετοχή, που έχει ήδη διανεμηθεί</w:t>
      </w:r>
      <w:r w:rsidR="005F5C5A" w:rsidRPr="0026228D">
        <w:rPr>
          <w:rFonts w:ascii="The Wave Sans TT" w:hAnsi="The Wave Sans TT" w:cs="Arial"/>
          <w:sz w:val="20"/>
          <w:szCs w:val="20"/>
        </w:rPr>
        <w:t>.</w:t>
      </w:r>
      <w:r w:rsidR="00344581">
        <w:rPr>
          <w:rFonts w:ascii="The Wave Sans TT" w:hAnsi="The Wave Sans TT" w:cs="Arial"/>
          <w:sz w:val="20"/>
          <w:szCs w:val="20"/>
        </w:rPr>
        <w:t xml:space="preserve"> </w:t>
      </w:r>
      <w:r>
        <w:rPr>
          <w:rFonts w:ascii="The Wave Sans TT" w:hAnsi="The Wave Sans TT" w:cs="Arial"/>
          <w:sz w:val="20"/>
          <w:szCs w:val="20"/>
        </w:rPr>
        <w:t>Η διανομή αυτή οδηγεί σε συνολική μερισματική απόδοση άνω του 12% με βάση τη</w:t>
      </w:r>
      <w:r w:rsidR="006A4184">
        <w:rPr>
          <w:rFonts w:ascii="The Wave Sans TT" w:hAnsi="The Wave Sans TT" w:cs="Arial"/>
          <w:sz w:val="20"/>
          <w:szCs w:val="20"/>
        </w:rPr>
        <w:t>ν</w:t>
      </w:r>
      <w:r>
        <w:rPr>
          <w:rFonts w:ascii="The Wave Sans TT" w:hAnsi="The Wave Sans TT" w:cs="Arial"/>
          <w:sz w:val="20"/>
          <w:szCs w:val="20"/>
        </w:rPr>
        <w:t xml:space="preserve"> </w:t>
      </w:r>
      <w:r w:rsidR="006A4184">
        <w:rPr>
          <w:rFonts w:ascii="The Wave Sans TT" w:hAnsi="The Wave Sans TT" w:cs="Arial"/>
          <w:sz w:val="20"/>
          <w:szCs w:val="20"/>
        </w:rPr>
        <w:t xml:space="preserve">τιμή της μετοχής </w:t>
      </w:r>
      <w:r>
        <w:rPr>
          <w:rFonts w:ascii="The Wave Sans TT" w:hAnsi="The Wave Sans TT" w:cs="Arial"/>
          <w:sz w:val="20"/>
          <w:szCs w:val="20"/>
        </w:rPr>
        <w:t>στο τέλος του 2023.</w:t>
      </w:r>
    </w:p>
    <w:bookmarkEnd w:id="0"/>
    <w:p w14:paraId="3EE3C494" w14:textId="77777777" w:rsidR="007F5342" w:rsidRPr="00675B54" w:rsidRDefault="007F5342" w:rsidP="007F5342">
      <w:pPr>
        <w:spacing w:after="120"/>
        <w:jc w:val="both"/>
        <w:rPr>
          <w:rFonts w:ascii="The Wave Sans TT" w:hAnsi="The Wave Sans TT" w:cs="Arial"/>
          <w:color w:val="FF0000"/>
          <w:sz w:val="20"/>
          <w:szCs w:val="20"/>
          <w:highlight w:val="yellow"/>
        </w:rPr>
      </w:pPr>
    </w:p>
    <w:p w14:paraId="42F94A24" w14:textId="77777777" w:rsidR="00164976" w:rsidRPr="00446E39" w:rsidRDefault="00164976" w:rsidP="00164976">
      <w:pPr>
        <w:keepNext/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  <w:r w:rsidRPr="00446E39">
        <w:rPr>
          <w:rFonts w:ascii="The Wave Sans TT" w:hAnsi="The Wave Sans TT" w:cs="Arial"/>
          <w:b/>
          <w:sz w:val="20"/>
          <w:szCs w:val="20"/>
        </w:rPr>
        <w:t xml:space="preserve">Υλοποίηση Στρατηγικής – </w:t>
      </w:r>
      <w:r w:rsidRPr="00446E39">
        <w:rPr>
          <w:rFonts w:ascii="The Wave Sans TT" w:hAnsi="The Wave Sans TT" w:cs="Arial"/>
          <w:b/>
          <w:sz w:val="20"/>
          <w:szCs w:val="20"/>
          <w:lang w:val="en-US"/>
        </w:rPr>
        <w:t>Vision</w:t>
      </w:r>
      <w:r w:rsidRPr="00446E39">
        <w:rPr>
          <w:rFonts w:ascii="The Wave Sans TT" w:hAnsi="The Wave Sans TT" w:cs="Arial"/>
          <w:b/>
          <w:sz w:val="20"/>
          <w:szCs w:val="20"/>
        </w:rPr>
        <w:t xml:space="preserve"> 2025</w:t>
      </w:r>
    </w:p>
    <w:p w14:paraId="709E21E3" w14:textId="7296ED63" w:rsidR="000A09F0" w:rsidRPr="00251780" w:rsidRDefault="00A04442" w:rsidP="00144177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hAnsi="The Wave Sans TT" w:cs="Arial"/>
          <w:sz w:val="20"/>
          <w:szCs w:val="20"/>
        </w:rPr>
      </w:pPr>
      <w:r w:rsidRPr="004B2497">
        <w:rPr>
          <w:rFonts w:ascii="The Wave Sans TT" w:hAnsi="The Wave Sans TT" w:cs="Arial"/>
          <w:sz w:val="20"/>
          <w:szCs w:val="20"/>
        </w:rPr>
        <w:t xml:space="preserve">Κατά τη διάρκεια του 2023, ο Όμιλος σημείωσε πρόοδο σε όλους τους στρατηγικούς άξονες </w:t>
      </w:r>
      <w:r w:rsidR="00617F36">
        <w:rPr>
          <w:rFonts w:ascii="The Wave Sans TT" w:hAnsi="The Wave Sans TT" w:cs="Arial"/>
          <w:sz w:val="20"/>
          <w:szCs w:val="20"/>
        </w:rPr>
        <w:t>προχωρώντας</w:t>
      </w:r>
      <w:r w:rsidRPr="004B2497">
        <w:rPr>
          <w:rFonts w:ascii="The Wave Sans TT" w:hAnsi="The Wave Sans TT" w:cs="Arial"/>
          <w:sz w:val="20"/>
          <w:szCs w:val="20"/>
        </w:rPr>
        <w:t xml:space="preserve"> στην υλοποίηση </w:t>
      </w:r>
      <w:r w:rsidR="00430425" w:rsidRPr="004B2497">
        <w:rPr>
          <w:rFonts w:ascii="The Wave Sans TT" w:hAnsi="The Wave Sans TT" w:cs="Arial"/>
          <w:sz w:val="20"/>
          <w:szCs w:val="20"/>
        </w:rPr>
        <w:t>σημαντικών</w:t>
      </w:r>
      <w:r w:rsidR="00617F36">
        <w:rPr>
          <w:rFonts w:ascii="The Wave Sans TT" w:hAnsi="The Wave Sans TT" w:cs="Arial"/>
          <w:sz w:val="20"/>
          <w:szCs w:val="20"/>
        </w:rPr>
        <w:t xml:space="preserve"> νέων έργων</w:t>
      </w:r>
      <w:r w:rsidR="00D243F7">
        <w:rPr>
          <w:rFonts w:ascii="The Wave Sans TT" w:hAnsi="The Wave Sans TT" w:cs="Arial"/>
          <w:sz w:val="20"/>
          <w:szCs w:val="20"/>
        </w:rPr>
        <w:t>,</w:t>
      </w:r>
      <w:r w:rsidR="000A09F0" w:rsidRPr="004B2497">
        <w:rPr>
          <w:rFonts w:ascii="The Wave Sans TT" w:hAnsi="The Wave Sans TT" w:cs="Arial"/>
          <w:sz w:val="20"/>
          <w:szCs w:val="20"/>
        </w:rPr>
        <w:t xml:space="preserve"> </w:t>
      </w:r>
      <w:r w:rsidR="00617F36">
        <w:rPr>
          <w:rFonts w:ascii="The Wave Sans TT" w:hAnsi="The Wave Sans TT" w:cs="Arial"/>
          <w:sz w:val="20"/>
          <w:szCs w:val="20"/>
        </w:rPr>
        <w:t xml:space="preserve">τα οποία θα </w:t>
      </w:r>
      <w:r w:rsidR="000A09F0" w:rsidRPr="004B2497">
        <w:rPr>
          <w:rFonts w:ascii="The Wave Sans TT" w:hAnsi="The Wave Sans TT" w:cs="Arial"/>
          <w:sz w:val="20"/>
          <w:szCs w:val="20"/>
        </w:rPr>
        <w:t>π</w:t>
      </w:r>
      <w:r w:rsidR="00617F36">
        <w:rPr>
          <w:rFonts w:ascii="The Wave Sans TT" w:hAnsi="The Wave Sans TT" w:cs="Arial"/>
          <w:sz w:val="20"/>
          <w:szCs w:val="20"/>
        </w:rPr>
        <w:t>ροσθέσουν αξία τα επόμενα χρόνια</w:t>
      </w:r>
      <w:r w:rsidR="00430425" w:rsidRPr="004B2497">
        <w:rPr>
          <w:rFonts w:ascii="The Wave Sans TT" w:hAnsi="The Wave Sans TT" w:cs="Arial"/>
          <w:sz w:val="20"/>
          <w:szCs w:val="20"/>
        </w:rPr>
        <w:t>.</w:t>
      </w:r>
    </w:p>
    <w:p w14:paraId="4E98DB10" w14:textId="4829FE55" w:rsidR="00ED0EB4" w:rsidRDefault="00617F36" w:rsidP="00144177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hAnsi="The Wave Sans TT" w:cs="Arial"/>
          <w:sz w:val="20"/>
          <w:szCs w:val="20"/>
        </w:rPr>
      </w:pPr>
      <w:r w:rsidRPr="00ED0EB4">
        <w:rPr>
          <w:rFonts w:ascii="The Wave Sans TT" w:hAnsi="The Wave Sans TT" w:cs="Arial"/>
          <w:b/>
          <w:sz w:val="20"/>
          <w:szCs w:val="20"/>
        </w:rPr>
        <w:t>Σ</w:t>
      </w:r>
      <w:r w:rsidR="00430425" w:rsidRPr="00ED0EB4">
        <w:rPr>
          <w:rFonts w:ascii="The Wave Sans TT" w:hAnsi="The Wave Sans TT" w:cs="Arial"/>
          <w:b/>
          <w:sz w:val="20"/>
          <w:szCs w:val="20"/>
        </w:rPr>
        <w:t>τις κύριες δραστηριότητές μας</w:t>
      </w:r>
      <w:r w:rsidR="00430425" w:rsidRPr="009104B8">
        <w:rPr>
          <w:rFonts w:ascii="The Wave Sans TT" w:hAnsi="The Wave Sans TT" w:cs="Arial"/>
          <w:sz w:val="20"/>
          <w:szCs w:val="20"/>
        </w:rPr>
        <w:t xml:space="preserve">, </w:t>
      </w:r>
      <w:r>
        <w:rPr>
          <w:rFonts w:ascii="The Wave Sans TT" w:hAnsi="The Wave Sans TT" w:cs="Arial"/>
          <w:sz w:val="20"/>
          <w:szCs w:val="20"/>
        </w:rPr>
        <w:t>στόχος είναι η περαιτέρω βελτίωση της οικονομικής αποδοτικότητας</w:t>
      </w:r>
      <w:r w:rsidR="006D5D19">
        <w:rPr>
          <w:rFonts w:ascii="The Wave Sans TT" w:hAnsi="The Wave Sans TT" w:cs="Arial"/>
          <w:sz w:val="20"/>
          <w:szCs w:val="20"/>
        </w:rPr>
        <w:t>,</w:t>
      </w:r>
      <w:r>
        <w:rPr>
          <w:rFonts w:ascii="The Wave Sans TT" w:hAnsi="The Wave Sans TT" w:cs="Arial"/>
          <w:sz w:val="20"/>
          <w:szCs w:val="20"/>
        </w:rPr>
        <w:t xml:space="preserve"> αλλά και </w:t>
      </w:r>
      <w:r w:rsidR="006D5D19">
        <w:rPr>
          <w:rFonts w:ascii="The Wave Sans TT" w:hAnsi="The Wave Sans TT" w:cs="Arial"/>
          <w:sz w:val="20"/>
          <w:szCs w:val="20"/>
        </w:rPr>
        <w:t xml:space="preserve">η </w:t>
      </w:r>
      <w:r w:rsidR="006D5D19">
        <w:rPr>
          <w:rFonts w:ascii="The Wave Sans TT" w:hAnsi="The Wave Sans TT" w:cs="Arial"/>
          <w:sz w:val="20"/>
          <w:szCs w:val="20"/>
        </w:rPr>
        <w:lastRenderedPageBreak/>
        <w:t xml:space="preserve">επιτάχυνση του </w:t>
      </w:r>
      <w:r>
        <w:rPr>
          <w:rFonts w:ascii="The Wave Sans TT" w:hAnsi="The Wave Sans TT" w:cs="Arial"/>
          <w:sz w:val="20"/>
          <w:szCs w:val="20"/>
        </w:rPr>
        <w:t xml:space="preserve">ενεργειακού μετασχηματισμού. Στο πλαίσιο αυτό, </w:t>
      </w:r>
      <w:r w:rsidR="00430425" w:rsidRPr="009104B8">
        <w:rPr>
          <w:rFonts w:ascii="The Wave Sans TT" w:hAnsi="The Wave Sans TT" w:cs="Arial"/>
          <w:sz w:val="20"/>
          <w:szCs w:val="20"/>
        </w:rPr>
        <w:t xml:space="preserve">προχωρούν </w:t>
      </w:r>
      <w:r w:rsidR="00430425" w:rsidRPr="00ED0EB4">
        <w:rPr>
          <w:rFonts w:ascii="The Wave Sans TT" w:hAnsi="The Wave Sans TT" w:cs="Arial"/>
          <w:b/>
          <w:sz w:val="20"/>
          <w:szCs w:val="20"/>
        </w:rPr>
        <w:t xml:space="preserve">έργα </w:t>
      </w:r>
      <w:r w:rsidRPr="00ED0EB4">
        <w:rPr>
          <w:rFonts w:ascii="The Wave Sans TT" w:hAnsi="The Wave Sans TT" w:cs="Arial"/>
          <w:b/>
          <w:sz w:val="20"/>
          <w:szCs w:val="20"/>
        </w:rPr>
        <w:t xml:space="preserve">ενεργειακής </w:t>
      </w:r>
      <w:r w:rsidR="000A09F0" w:rsidRPr="00ED0EB4">
        <w:rPr>
          <w:rFonts w:ascii="The Wave Sans TT" w:hAnsi="The Wave Sans TT" w:cs="Arial"/>
          <w:b/>
          <w:sz w:val="20"/>
          <w:szCs w:val="20"/>
        </w:rPr>
        <w:t xml:space="preserve">αυτονομίας και </w:t>
      </w:r>
      <w:r w:rsidR="00430425" w:rsidRPr="00ED0EB4">
        <w:rPr>
          <w:rFonts w:ascii="The Wave Sans TT" w:hAnsi="The Wave Sans TT" w:cs="Arial"/>
          <w:b/>
          <w:sz w:val="20"/>
          <w:szCs w:val="20"/>
        </w:rPr>
        <w:t xml:space="preserve">εξοικονόμησης </w:t>
      </w:r>
      <w:r w:rsidR="000A09F0" w:rsidRPr="00ED0EB4">
        <w:rPr>
          <w:rFonts w:ascii="The Wave Sans TT" w:hAnsi="The Wave Sans TT" w:cs="Arial"/>
          <w:b/>
          <w:sz w:val="20"/>
          <w:szCs w:val="20"/>
        </w:rPr>
        <w:t>ενέργειας</w:t>
      </w:r>
      <w:r w:rsidR="000A09F0" w:rsidRPr="009104B8">
        <w:rPr>
          <w:rFonts w:ascii="The Wave Sans TT" w:hAnsi="The Wave Sans TT" w:cs="Arial"/>
          <w:sz w:val="20"/>
          <w:szCs w:val="20"/>
        </w:rPr>
        <w:t xml:space="preserve"> </w:t>
      </w:r>
      <w:r w:rsidR="003E0162">
        <w:rPr>
          <w:rFonts w:ascii="The Wave Sans TT" w:hAnsi="The Wave Sans TT" w:cs="Arial"/>
          <w:sz w:val="20"/>
          <w:szCs w:val="20"/>
        </w:rPr>
        <w:t>τα οποία</w:t>
      </w:r>
      <w:r w:rsidR="00FD113E">
        <w:rPr>
          <w:rFonts w:ascii="The Wave Sans TT" w:hAnsi="The Wave Sans TT" w:cs="Arial"/>
          <w:sz w:val="20"/>
          <w:szCs w:val="20"/>
        </w:rPr>
        <w:t>, εκτός από την οικονομική απόδοση</w:t>
      </w:r>
      <w:r w:rsidR="00C93E6D">
        <w:rPr>
          <w:rFonts w:ascii="The Wave Sans TT" w:hAnsi="The Wave Sans TT" w:cs="Arial"/>
          <w:sz w:val="20"/>
          <w:szCs w:val="20"/>
        </w:rPr>
        <w:t>,</w:t>
      </w:r>
      <w:r w:rsidR="00FD113E">
        <w:rPr>
          <w:rFonts w:ascii="The Wave Sans TT" w:hAnsi="The Wave Sans TT" w:cs="Arial"/>
          <w:sz w:val="20"/>
          <w:szCs w:val="20"/>
        </w:rPr>
        <w:t xml:space="preserve"> συνεισφέρουν και στη βελτίωση του περιβαλλοντικού αποτυπώματος </w:t>
      </w:r>
      <w:r w:rsidR="000A09F0" w:rsidRPr="00ED0EB4">
        <w:rPr>
          <w:rFonts w:ascii="The Wave Sans TT" w:hAnsi="The Wave Sans TT" w:cs="Arial"/>
          <w:b/>
          <w:sz w:val="20"/>
          <w:szCs w:val="20"/>
        </w:rPr>
        <w:t>στα διυλιστήρια</w:t>
      </w:r>
      <w:r w:rsidR="00C93E6D">
        <w:rPr>
          <w:rFonts w:ascii="The Wave Sans TT" w:hAnsi="The Wave Sans TT" w:cs="Arial"/>
          <w:sz w:val="20"/>
          <w:szCs w:val="20"/>
        </w:rPr>
        <w:t>.</w:t>
      </w:r>
      <w:r w:rsidR="000A09F0" w:rsidRPr="009104B8">
        <w:rPr>
          <w:rFonts w:ascii="The Wave Sans TT" w:hAnsi="The Wave Sans TT" w:cs="Arial"/>
          <w:sz w:val="20"/>
          <w:szCs w:val="20"/>
        </w:rPr>
        <w:t xml:space="preserve"> </w:t>
      </w:r>
      <w:r w:rsidR="009104B8">
        <w:rPr>
          <w:rFonts w:ascii="The Wave Sans TT" w:hAnsi="The Wave Sans TT" w:cs="Arial"/>
          <w:sz w:val="20"/>
          <w:szCs w:val="20"/>
        </w:rPr>
        <w:t xml:space="preserve">Παράλληλα, ξεκίνησε </w:t>
      </w:r>
      <w:r w:rsidR="000A1EB2" w:rsidRPr="00ED0EB4">
        <w:rPr>
          <w:rFonts w:ascii="The Wave Sans TT" w:hAnsi="The Wave Sans TT" w:cs="Arial"/>
          <w:b/>
          <w:sz w:val="20"/>
          <w:szCs w:val="20"/>
        </w:rPr>
        <w:t>η</w:t>
      </w:r>
      <w:r w:rsidR="009104B8" w:rsidRPr="00ED0EB4">
        <w:rPr>
          <w:rFonts w:ascii="The Wave Sans TT" w:hAnsi="The Wave Sans TT" w:cs="Arial"/>
          <w:b/>
          <w:sz w:val="20"/>
          <w:szCs w:val="20"/>
        </w:rPr>
        <w:t xml:space="preserve"> υλοποίηση μονάδας συμπαραγωγής </w:t>
      </w:r>
      <w:r w:rsidR="00865962" w:rsidRPr="00ED0EB4">
        <w:rPr>
          <w:rFonts w:ascii="The Wave Sans TT" w:hAnsi="The Wave Sans TT" w:cs="Arial"/>
          <w:b/>
          <w:sz w:val="20"/>
          <w:szCs w:val="20"/>
        </w:rPr>
        <w:t>Υδρογον</w:t>
      </w:r>
      <w:r w:rsidR="007C2156" w:rsidRPr="00ED0EB4">
        <w:rPr>
          <w:rFonts w:ascii="The Wave Sans TT" w:hAnsi="The Wave Sans TT" w:cs="Arial"/>
          <w:b/>
          <w:sz w:val="20"/>
          <w:szCs w:val="20"/>
        </w:rPr>
        <w:t>ω</w:t>
      </w:r>
      <w:r w:rsidR="00865962" w:rsidRPr="00ED0EB4">
        <w:rPr>
          <w:rFonts w:ascii="The Wave Sans TT" w:hAnsi="The Wave Sans TT" w:cs="Arial"/>
          <w:b/>
          <w:sz w:val="20"/>
          <w:szCs w:val="20"/>
        </w:rPr>
        <w:t xml:space="preserve">μένου </w:t>
      </w:r>
      <w:r w:rsidR="006B1C4C" w:rsidRPr="00ED0EB4">
        <w:rPr>
          <w:rFonts w:ascii="The Wave Sans TT" w:hAnsi="The Wave Sans TT" w:cs="Arial"/>
          <w:b/>
          <w:sz w:val="20"/>
          <w:szCs w:val="20"/>
        </w:rPr>
        <w:t>Φυτικού Ελαίου</w:t>
      </w:r>
      <w:r w:rsidR="006B1C4C">
        <w:rPr>
          <w:rFonts w:ascii="The Wave Sans TT" w:hAnsi="The Wave Sans TT" w:cs="Arial"/>
          <w:sz w:val="20"/>
          <w:szCs w:val="20"/>
        </w:rPr>
        <w:t xml:space="preserve"> (</w:t>
      </w:r>
      <w:r w:rsidR="009104B8">
        <w:rPr>
          <w:rFonts w:ascii="The Wave Sans TT" w:hAnsi="The Wave Sans TT" w:cs="Arial"/>
          <w:sz w:val="20"/>
          <w:szCs w:val="20"/>
          <w:lang w:val="en-US"/>
        </w:rPr>
        <w:t>H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ydrotreated</w:t>
      </w:r>
      <w:r w:rsidR="000A1EB2" w:rsidRPr="000A1EB2">
        <w:rPr>
          <w:rFonts w:ascii="The Wave Sans TT" w:hAnsi="The Wave Sans TT" w:cs="Arial"/>
          <w:sz w:val="20"/>
          <w:szCs w:val="20"/>
        </w:rPr>
        <w:t xml:space="preserve"> 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Vegetable</w:t>
      </w:r>
      <w:r w:rsidR="000A1EB2" w:rsidRPr="000A1EB2">
        <w:rPr>
          <w:rFonts w:ascii="The Wave Sans TT" w:hAnsi="The Wave Sans TT" w:cs="Arial"/>
          <w:sz w:val="20"/>
          <w:szCs w:val="20"/>
        </w:rPr>
        <w:t xml:space="preserve"> 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Oil</w:t>
      </w:r>
      <w:r w:rsidR="006B1C4C">
        <w:rPr>
          <w:rFonts w:ascii="The Wave Sans TT" w:hAnsi="The Wave Sans TT" w:cs="Arial"/>
          <w:sz w:val="20"/>
          <w:szCs w:val="20"/>
        </w:rPr>
        <w:t xml:space="preserve">, 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H</w:t>
      </w:r>
      <w:r w:rsidR="009104B8">
        <w:rPr>
          <w:rFonts w:ascii="The Wave Sans TT" w:hAnsi="The Wave Sans TT" w:cs="Arial"/>
          <w:sz w:val="20"/>
          <w:szCs w:val="20"/>
          <w:lang w:val="en-US"/>
        </w:rPr>
        <w:t>VO</w:t>
      </w:r>
      <w:r w:rsidR="000A1EB2" w:rsidRPr="000A1EB2">
        <w:rPr>
          <w:rFonts w:ascii="The Wave Sans TT" w:hAnsi="The Wave Sans TT" w:cs="Arial"/>
          <w:sz w:val="20"/>
          <w:szCs w:val="20"/>
        </w:rPr>
        <w:t>)</w:t>
      </w:r>
      <w:r w:rsidR="009104B8" w:rsidRPr="009104B8">
        <w:rPr>
          <w:rFonts w:ascii="The Wave Sans TT" w:hAnsi="The Wave Sans TT" w:cs="Arial"/>
          <w:sz w:val="20"/>
          <w:szCs w:val="20"/>
        </w:rPr>
        <w:t xml:space="preserve"> </w:t>
      </w:r>
      <w:r w:rsidR="009104B8" w:rsidRPr="00ED0EB4">
        <w:rPr>
          <w:rFonts w:ascii="The Wave Sans TT" w:hAnsi="The Wave Sans TT" w:cs="Arial"/>
          <w:b/>
          <w:sz w:val="20"/>
          <w:szCs w:val="20"/>
        </w:rPr>
        <w:t>στη Θεσσαλονίκη</w:t>
      </w:r>
      <w:r w:rsidR="00FD113E">
        <w:rPr>
          <w:rFonts w:ascii="The Wave Sans TT" w:hAnsi="The Wave Sans TT" w:cs="Arial"/>
          <w:sz w:val="20"/>
          <w:szCs w:val="20"/>
        </w:rPr>
        <w:t>, μια λύση που σταδιακά μειώνει τη</w:t>
      </w:r>
      <w:r w:rsidR="006A4184">
        <w:rPr>
          <w:rFonts w:ascii="The Wave Sans TT" w:hAnsi="The Wave Sans TT" w:cs="Arial"/>
          <w:sz w:val="20"/>
          <w:szCs w:val="20"/>
        </w:rPr>
        <w:t>ν</w:t>
      </w:r>
      <w:r w:rsidR="00FD113E">
        <w:rPr>
          <w:rFonts w:ascii="The Wave Sans TT" w:hAnsi="The Wave Sans TT" w:cs="Arial"/>
          <w:sz w:val="20"/>
          <w:szCs w:val="20"/>
        </w:rPr>
        <w:t xml:space="preserve"> παραγωγή από ορυκτά καύσιμα</w:t>
      </w:r>
      <w:r w:rsidR="00C93E6D">
        <w:rPr>
          <w:rFonts w:ascii="The Wave Sans TT" w:hAnsi="The Wave Sans TT" w:cs="Arial"/>
          <w:sz w:val="20"/>
          <w:szCs w:val="20"/>
        </w:rPr>
        <w:t>,</w:t>
      </w:r>
      <w:r w:rsidR="00FD113E">
        <w:rPr>
          <w:rFonts w:ascii="The Wave Sans TT" w:hAnsi="The Wave Sans TT" w:cs="Arial"/>
          <w:sz w:val="20"/>
          <w:szCs w:val="20"/>
        </w:rPr>
        <w:t xml:space="preserve"> ενώ </w:t>
      </w:r>
      <w:r w:rsidR="00E13F2C">
        <w:rPr>
          <w:rFonts w:ascii="The Wave Sans TT" w:hAnsi="The Wave Sans TT" w:cs="Arial"/>
          <w:sz w:val="20"/>
          <w:szCs w:val="20"/>
        </w:rPr>
        <w:t xml:space="preserve">ταυτόχρονα </w:t>
      </w:r>
      <w:r w:rsidR="00E13F2C" w:rsidRPr="00ED0EB4">
        <w:rPr>
          <w:rFonts w:ascii="The Wave Sans TT" w:hAnsi="The Wave Sans TT" w:cs="Arial"/>
          <w:b/>
          <w:sz w:val="20"/>
          <w:szCs w:val="20"/>
        </w:rPr>
        <w:t>εξετάζ</w:t>
      </w:r>
      <w:r w:rsidR="005B6500" w:rsidRPr="00ED0EB4">
        <w:rPr>
          <w:rFonts w:ascii="The Wave Sans TT" w:hAnsi="The Wave Sans TT" w:cs="Arial"/>
          <w:b/>
          <w:sz w:val="20"/>
          <w:szCs w:val="20"/>
        </w:rPr>
        <w:t xml:space="preserve">ονται </w:t>
      </w:r>
      <w:r w:rsidR="009104B8" w:rsidRPr="00ED0EB4">
        <w:rPr>
          <w:rFonts w:ascii="The Wave Sans TT" w:hAnsi="The Wave Sans TT" w:cs="Arial"/>
          <w:b/>
          <w:sz w:val="20"/>
          <w:szCs w:val="20"/>
        </w:rPr>
        <w:t>επ</w:t>
      </w:r>
      <w:r w:rsidR="005B6500" w:rsidRPr="00ED0EB4">
        <w:rPr>
          <w:rFonts w:ascii="The Wave Sans TT" w:hAnsi="The Wave Sans TT" w:cs="Arial"/>
          <w:b/>
          <w:sz w:val="20"/>
          <w:szCs w:val="20"/>
        </w:rPr>
        <w:t>ενδύσεις</w:t>
      </w:r>
      <w:r w:rsidR="009104B8">
        <w:rPr>
          <w:rFonts w:ascii="The Wave Sans TT" w:hAnsi="The Wave Sans TT" w:cs="Arial"/>
          <w:sz w:val="20"/>
          <w:szCs w:val="20"/>
        </w:rPr>
        <w:t xml:space="preserve"> σ</w:t>
      </w:r>
      <w:r w:rsidR="00FD113E">
        <w:rPr>
          <w:rFonts w:ascii="The Wave Sans TT" w:hAnsi="The Wave Sans TT" w:cs="Arial"/>
          <w:sz w:val="20"/>
          <w:szCs w:val="20"/>
        </w:rPr>
        <w:t>τη</w:t>
      </w:r>
      <w:r w:rsidR="00CD2B72">
        <w:rPr>
          <w:rFonts w:ascii="The Wave Sans TT" w:hAnsi="The Wave Sans TT" w:cs="Arial"/>
          <w:sz w:val="20"/>
          <w:szCs w:val="20"/>
        </w:rPr>
        <w:t>ν</w:t>
      </w:r>
      <w:r w:rsidR="00FD113E">
        <w:rPr>
          <w:rFonts w:ascii="The Wave Sans TT" w:hAnsi="The Wave Sans TT" w:cs="Arial"/>
          <w:sz w:val="20"/>
          <w:szCs w:val="20"/>
        </w:rPr>
        <w:t xml:space="preserve"> πρώτη </w:t>
      </w:r>
      <w:r w:rsidR="00C93E6D">
        <w:rPr>
          <w:rFonts w:ascii="The Wave Sans TT" w:hAnsi="The Wave Sans TT" w:cs="Arial"/>
          <w:sz w:val="20"/>
          <w:szCs w:val="20"/>
        </w:rPr>
        <w:t>ε</w:t>
      </w:r>
      <w:r w:rsidR="00FD113E">
        <w:rPr>
          <w:rFonts w:ascii="The Wave Sans TT" w:hAnsi="The Wave Sans TT" w:cs="Arial"/>
          <w:sz w:val="20"/>
          <w:szCs w:val="20"/>
        </w:rPr>
        <w:t xml:space="preserve">λληνική </w:t>
      </w:r>
      <w:r w:rsidR="009104B8">
        <w:rPr>
          <w:rFonts w:ascii="The Wave Sans TT" w:hAnsi="The Wave Sans TT" w:cs="Arial"/>
          <w:sz w:val="20"/>
          <w:szCs w:val="20"/>
        </w:rPr>
        <w:t xml:space="preserve">μονάδα παραγωγής </w:t>
      </w:r>
      <w:r w:rsidR="006B1C4C" w:rsidRPr="00ED0EB4">
        <w:rPr>
          <w:rFonts w:ascii="The Wave Sans TT" w:hAnsi="The Wave Sans TT" w:cs="Arial"/>
          <w:b/>
          <w:sz w:val="20"/>
          <w:szCs w:val="20"/>
        </w:rPr>
        <w:t>Βιώσιμου Αεροπορικού Καυσίμου</w:t>
      </w:r>
      <w:r w:rsidR="006B1C4C">
        <w:rPr>
          <w:rFonts w:ascii="The Wave Sans TT" w:hAnsi="The Wave Sans TT" w:cs="Arial"/>
          <w:sz w:val="20"/>
          <w:szCs w:val="20"/>
        </w:rPr>
        <w:t xml:space="preserve"> (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Sustainable</w:t>
      </w:r>
      <w:r w:rsidR="000A1EB2" w:rsidRPr="000A1EB2">
        <w:rPr>
          <w:rFonts w:ascii="The Wave Sans TT" w:hAnsi="The Wave Sans TT" w:cs="Arial"/>
          <w:sz w:val="20"/>
          <w:szCs w:val="20"/>
        </w:rPr>
        <w:t xml:space="preserve"> 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Aviation</w:t>
      </w:r>
      <w:r w:rsidR="000A1EB2" w:rsidRPr="000A1EB2">
        <w:rPr>
          <w:rFonts w:ascii="The Wave Sans TT" w:hAnsi="The Wave Sans TT" w:cs="Arial"/>
          <w:sz w:val="20"/>
          <w:szCs w:val="20"/>
        </w:rPr>
        <w:t xml:space="preserve"> </w:t>
      </w:r>
      <w:r w:rsidR="000A1EB2">
        <w:rPr>
          <w:rFonts w:ascii="The Wave Sans TT" w:hAnsi="The Wave Sans TT" w:cs="Arial"/>
          <w:sz w:val="20"/>
          <w:szCs w:val="20"/>
          <w:lang w:val="en-US"/>
        </w:rPr>
        <w:t>Fuel</w:t>
      </w:r>
      <w:r w:rsidR="006B1C4C">
        <w:rPr>
          <w:rFonts w:ascii="The Wave Sans TT" w:hAnsi="The Wave Sans TT" w:cs="Arial"/>
          <w:sz w:val="20"/>
          <w:szCs w:val="20"/>
        </w:rPr>
        <w:t xml:space="preserve">, </w:t>
      </w:r>
      <w:r w:rsidR="009104B8">
        <w:rPr>
          <w:rFonts w:ascii="The Wave Sans TT" w:hAnsi="The Wave Sans TT" w:cs="Arial"/>
          <w:sz w:val="20"/>
          <w:szCs w:val="20"/>
          <w:lang w:val="en-US"/>
        </w:rPr>
        <w:t>SAF</w:t>
      </w:r>
      <w:r w:rsidR="000A1EB2" w:rsidRPr="000A1EB2">
        <w:rPr>
          <w:rFonts w:ascii="The Wave Sans TT" w:hAnsi="The Wave Sans TT" w:cs="Arial"/>
          <w:sz w:val="20"/>
          <w:szCs w:val="20"/>
        </w:rPr>
        <w:t>)</w:t>
      </w:r>
      <w:r w:rsidR="00FD113E">
        <w:rPr>
          <w:rFonts w:ascii="The Wave Sans TT" w:hAnsi="The Wave Sans TT" w:cs="Arial"/>
          <w:sz w:val="20"/>
          <w:szCs w:val="20"/>
        </w:rPr>
        <w:t xml:space="preserve"> </w:t>
      </w:r>
      <w:r w:rsidR="009104B8">
        <w:rPr>
          <w:rFonts w:ascii="The Wave Sans TT" w:hAnsi="The Wave Sans TT" w:cs="Arial"/>
          <w:sz w:val="20"/>
          <w:szCs w:val="20"/>
        </w:rPr>
        <w:t>στον Ασπρόπυργο</w:t>
      </w:r>
      <w:r w:rsidR="005B6500">
        <w:rPr>
          <w:rFonts w:ascii="The Wave Sans TT" w:hAnsi="The Wave Sans TT" w:cs="Arial"/>
          <w:sz w:val="20"/>
          <w:szCs w:val="20"/>
        </w:rPr>
        <w:t xml:space="preserve">, δέσμευσης </w:t>
      </w:r>
      <w:r w:rsidR="005B6500">
        <w:rPr>
          <w:rFonts w:ascii="The Wave Sans TT" w:hAnsi="The Wave Sans TT" w:cs="Arial"/>
          <w:sz w:val="20"/>
          <w:szCs w:val="20"/>
          <w:lang w:val="en-US"/>
        </w:rPr>
        <w:t>CO</w:t>
      </w:r>
      <w:r w:rsidR="005B6500" w:rsidRPr="00A36DB4">
        <w:rPr>
          <w:rFonts w:ascii="The Wave Sans TT" w:hAnsi="The Wave Sans TT" w:cs="Arial"/>
          <w:sz w:val="20"/>
          <w:szCs w:val="20"/>
          <w:vertAlign w:val="subscript"/>
        </w:rPr>
        <w:t>2</w:t>
      </w:r>
      <w:r w:rsidR="005B6500" w:rsidRPr="005B6500">
        <w:rPr>
          <w:rFonts w:ascii="The Wave Sans TT" w:hAnsi="The Wave Sans TT" w:cs="Arial"/>
          <w:sz w:val="20"/>
          <w:szCs w:val="20"/>
        </w:rPr>
        <w:t xml:space="preserve"> </w:t>
      </w:r>
      <w:r w:rsidR="005B6500">
        <w:rPr>
          <w:rFonts w:ascii="The Wave Sans TT" w:hAnsi="The Wave Sans TT" w:cs="Arial"/>
          <w:sz w:val="20"/>
          <w:szCs w:val="20"/>
        </w:rPr>
        <w:t>στην Ελευσίνα, καθώς και παραγωγής πράσινου υδρογόνου και συνθετικών καυσίμων σε Ελευσίνα και Θεσσαλονίκη</w:t>
      </w:r>
      <w:r w:rsidR="009104B8">
        <w:rPr>
          <w:rFonts w:ascii="The Wave Sans TT" w:hAnsi="The Wave Sans TT" w:cs="Arial"/>
          <w:sz w:val="20"/>
          <w:szCs w:val="20"/>
        </w:rPr>
        <w:t>.</w:t>
      </w:r>
      <w:r w:rsidR="00FD113E">
        <w:rPr>
          <w:rFonts w:ascii="The Wave Sans TT" w:hAnsi="The Wave Sans TT" w:cs="Arial"/>
          <w:sz w:val="20"/>
          <w:szCs w:val="20"/>
        </w:rPr>
        <w:t xml:space="preserve"> Οι </w:t>
      </w:r>
      <w:r w:rsidR="003E0162">
        <w:rPr>
          <w:rFonts w:ascii="The Wave Sans TT" w:hAnsi="The Wave Sans TT" w:cs="Arial"/>
          <w:sz w:val="20"/>
          <w:szCs w:val="20"/>
        </w:rPr>
        <w:t>επιλογές</w:t>
      </w:r>
      <w:r w:rsidR="00FD113E">
        <w:rPr>
          <w:rFonts w:ascii="The Wave Sans TT" w:hAnsi="The Wave Sans TT" w:cs="Arial"/>
          <w:sz w:val="20"/>
          <w:szCs w:val="20"/>
        </w:rPr>
        <w:t xml:space="preserve"> αυτές</w:t>
      </w:r>
      <w:r w:rsidR="005B6500">
        <w:rPr>
          <w:rFonts w:ascii="The Wave Sans TT" w:hAnsi="The Wave Sans TT" w:cs="Arial"/>
          <w:sz w:val="20"/>
          <w:szCs w:val="20"/>
        </w:rPr>
        <w:t xml:space="preserve"> </w:t>
      </w:r>
      <w:r w:rsidR="00FD113E">
        <w:rPr>
          <w:rFonts w:ascii="The Wave Sans TT" w:hAnsi="The Wave Sans TT" w:cs="Arial"/>
          <w:sz w:val="20"/>
          <w:szCs w:val="20"/>
        </w:rPr>
        <w:t>είναι σημαντικές</w:t>
      </w:r>
      <w:r w:rsidR="006A4184">
        <w:rPr>
          <w:rFonts w:ascii="The Wave Sans TT" w:hAnsi="The Wave Sans TT" w:cs="Arial"/>
          <w:sz w:val="20"/>
          <w:szCs w:val="20"/>
        </w:rPr>
        <w:t>,</w:t>
      </w:r>
      <w:r w:rsidR="00FD113E">
        <w:rPr>
          <w:rFonts w:ascii="The Wave Sans TT" w:hAnsi="The Wave Sans TT" w:cs="Arial"/>
          <w:sz w:val="20"/>
          <w:szCs w:val="20"/>
        </w:rPr>
        <w:t xml:space="preserve"> καθώς υποστηρίζουν τη</w:t>
      </w:r>
      <w:r w:rsidR="005B6500">
        <w:rPr>
          <w:rFonts w:ascii="The Wave Sans TT" w:hAnsi="The Wave Sans TT" w:cs="Arial"/>
          <w:sz w:val="20"/>
          <w:szCs w:val="20"/>
        </w:rPr>
        <w:t xml:space="preserve"> μείωση του ανθρακικού αποτυπώματος της Εταιρείας και τη</w:t>
      </w:r>
      <w:r w:rsidR="00FD113E">
        <w:rPr>
          <w:rFonts w:ascii="The Wave Sans TT" w:hAnsi="The Wave Sans TT" w:cs="Arial"/>
          <w:sz w:val="20"/>
          <w:szCs w:val="20"/>
        </w:rPr>
        <w:t xml:space="preserve"> μετεξέλιξη του κλάδου καυσίμων </w:t>
      </w:r>
      <w:r w:rsidR="00CD2B72">
        <w:rPr>
          <w:rFonts w:ascii="The Wave Sans TT" w:hAnsi="The Wave Sans TT" w:cs="Arial"/>
          <w:sz w:val="20"/>
          <w:szCs w:val="20"/>
        </w:rPr>
        <w:t xml:space="preserve">στις </w:t>
      </w:r>
      <w:r w:rsidR="00ED0EB4">
        <w:rPr>
          <w:rFonts w:ascii="The Wave Sans TT" w:hAnsi="The Wave Sans TT" w:cs="Arial"/>
          <w:sz w:val="20"/>
          <w:szCs w:val="20"/>
        </w:rPr>
        <w:t>Μ</w:t>
      </w:r>
      <w:r w:rsidR="00FD113E">
        <w:rPr>
          <w:rFonts w:ascii="The Wave Sans TT" w:hAnsi="The Wave Sans TT" w:cs="Arial"/>
          <w:sz w:val="20"/>
          <w:szCs w:val="20"/>
        </w:rPr>
        <w:t>εταφορ</w:t>
      </w:r>
      <w:r w:rsidR="00CD2B72">
        <w:rPr>
          <w:rFonts w:ascii="The Wave Sans TT" w:hAnsi="The Wave Sans TT" w:cs="Arial"/>
          <w:sz w:val="20"/>
          <w:szCs w:val="20"/>
        </w:rPr>
        <w:t>ές</w:t>
      </w:r>
      <w:r w:rsidR="00FD113E">
        <w:rPr>
          <w:rFonts w:ascii="The Wave Sans TT" w:hAnsi="The Wave Sans TT" w:cs="Arial"/>
          <w:sz w:val="20"/>
          <w:szCs w:val="20"/>
        </w:rPr>
        <w:t xml:space="preserve">. Τέλος, ήδη βρίσκεται </w:t>
      </w:r>
      <w:r w:rsidR="00FD113E" w:rsidRPr="00ED0EB4">
        <w:rPr>
          <w:rFonts w:ascii="The Wave Sans TT" w:hAnsi="The Wave Sans TT" w:cs="Arial"/>
          <w:b/>
          <w:sz w:val="20"/>
          <w:szCs w:val="20"/>
        </w:rPr>
        <w:t>σε εξέλιξη η επέκταση του εργοστασίου παραγωγής πολυπροπυλενίου</w:t>
      </w:r>
      <w:r w:rsidR="00FD113E" w:rsidRPr="00620A1F">
        <w:rPr>
          <w:rFonts w:ascii="The Wave Sans TT" w:hAnsi="The Wave Sans TT" w:cs="Arial"/>
          <w:sz w:val="20"/>
          <w:szCs w:val="20"/>
        </w:rPr>
        <w:t xml:space="preserve">, </w:t>
      </w:r>
      <w:r w:rsidR="006A4184" w:rsidRPr="00620A1F">
        <w:rPr>
          <w:rFonts w:ascii="The Wave Sans TT" w:hAnsi="The Wave Sans TT" w:cs="Arial"/>
          <w:sz w:val="20"/>
          <w:szCs w:val="20"/>
        </w:rPr>
        <w:t xml:space="preserve">η οποία, εκτός της προστιθέμενης οικονομικής αξίας, </w:t>
      </w:r>
      <w:r w:rsidR="00620A1F">
        <w:rPr>
          <w:rFonts w:ascii="The Wave Sans TT" w:hAnsi="The Wave Sans TT" w:cs="Arial"/>
          <w:sz w:val="20"/>
          <w:szCs w:val="20"/>
        </w:rPr>
        <w:t xml:space="preserve">συμβάλλει στη μείωση της </w:t>
      </w:r>
      <w:r w:rsidR="00FD113E" w:rsidRPr="00620A1F">
        <w:rPr>
          <w:rFonts w:ascii="The Wave Sans TT" w:hAnsi="The Wave Sans TT" w:cs="Arial"/>
          <w:sz w:val="20"/>
          <w:szCs w:val="20"/>
        </w:rPr>
        <w:t>εξάρτηση</w:t>
      </w:r>
      <w:r w:rsidR="00620A1F">
        <w:rPr>
          <w:rFonts w:ascii="The Wave Sans TT" w:hAnsi="The Wave Sans TT" w:cs="Arial"/>
          <w:sz w:val="20"/>
          <w:szCs w:val="20"/>
        </w:rPr>
        <w:t>ς</w:t>
      </w:r>
      <w:r w:rsidR="00FD113E" w:rsidRPr="00620A1F">
        <w:rPr>
          <w:rFonts w:ascii="The Wave Sans TT" w:hAnsi="The Wave Sans TT" w:cs="Arial"/>
          <w:sz w:val="20"/>
          <w:szCs w:val="20"/>
        </w:rPr>
        <w:t xml:space="preserve"> από </w:t>
      </w:r>
      <w:r w:rsidR="006A4184" w:rsidRPr="00620A1F">
        <w:rPr>
          <w:rFonts w:ascii="The Wave Sans TT" w:hAnsi="The Wave Sans TT" w:cs="Arial"/>
          <w:sz w:val="20"/>
          <w:szCs w:val="20"/>
        </w:rPr>
        <w:t xml:space="preserve">τις πωλήσεις </w:t>
      </w:r>
      <w:r w:rsidR="00FD113E" w:rsidRPr="00620A1F">
        <w:rPr>
          <w:rFonts w:ascii="The Wave Sans TT" w:hAnsi="The Wave Sans TT" w:cs="Arial"/>
          <w:sz w:val="20"/>
          <w:szCs w:val="20"/>
        </w:rPr>
        <w:t xml:space="preserve">καυσίμων και </w:t>
      </w:r>
      <w:r w:rsidR="00620A1F">
        <w:rPr>
          <w:rFonts w:ascii="The Wave Sans TT" w:hAnsi="The Wave Sans TT" w:cs="Arial"/>
          <w:sz w:val="20"/>
          <w:szCs w:val="20"/>
        </w:rPr>
        <w:t xml:space="preserve">στην περαιτέρω βελτίωση </w:t>
      </w:r>
      <w:r w:rsidR="00FD113E">
        <w:rPr>
          <w:rFonts w:ascii="The Wave Sans TT" w:hAnsi="The Wave Sans TT" w:cs="Arial"/>
          <w:sz w:val="20"/>
          <w:szCs w:val="20"/>
        </w:rPr>
        <w:t>το</w:t>
      </w:r>
      <w:r w:rsidR="00620A1F">
        <w:rPr>
          <w:rFonts w:ascii="The Wave Sans TT" w:hAnsi="The Wave Sans TT" w:cs="Arial"/>
          <w:sz w:val="20"/>
          <w:szCs w:val="20"/>
        </w:rPr>
        <w:t>υ</w:t>
      </w:r>
      <w:r w:rsidR="00FD113E">
        <w:rPr>
          <w:rFonts w:ascii="The Wave Sans TT" w:hAnsi="The Wave Sans TT" w:cs="Arial"/>
          <w:sz w:val="20"/>
          <w:szCs w:val="20"/>
        </w:rPr>
        <w:t xml:space="preserve"> περιβαλλοντικ</w:t>
      </w:r>
      <w:r w:rsidR="00620A1F">
        <w:rPr>
          <w:rFonts w:ascii="The Wave Sans TT" w:hAnsi="The Wave Sans TT" w:cs="Arial"/>
          <w:sz w:val="20"/>
          <w:szCs w:val="20"/>
        </w:rPr>
        <w:t>ού</w:t>
      </w:r>
      <w:r w:rsidR="00FD113E">
        <w:rPr>
          <w:rFonts w:ascii="The Wave Sans TT" w:hAnsi="The Wave Sans TT" w:cs="Arial"/>
          <w:sz w:val="20"/>
          <w:szCs w:val="20"/>
        </w:rPr>
        <w:t xml:space="preserve"> αποτ</w:t>
      </w:r>
      <w:r w:rsidR="00620A1F">
        <w:rPr>
          <w:rFonts w:ascii="The Wave Sans TT" w:hAnsi="The Wave Sans TT" w:cs="Arial"/>
          <w:sz w:val="20"/>
          <w:szCs w:val="20"/>
        </w:rPr>
        <w:t xml:space="preserve">υπώματος </w:t>
      </w:r>
      <w:r w:rsidR="00FD113E">
        <w:rPr>
          <w:rFonts w:ascii="The Wave Sans TT" w:hAnsi="The Wave Sans TT" w:cs="Arial"/>
          <w:sz w:val="20"/>
          <w:szCs w:val="20"/>
        </w:rPr>
        <w:t>της δραστηριότητ</w:t>
      </w:r>
      <w:r w:rsidR="00BC12D7">
        <w:rPr>
          <w:rFonts w:ascii="The Wave Sans TT" w:hAnsi="The Wave Sans TT" w:cs="Arial"/>
          <w:sz w:val="20"/>
          <w:szCs w:val="20"/>
        </w:rPr>
        <w:t>ά</w:t>
      </w:r>
      <w:r w:rsidR="00FD113E">
        <w:rPr>
          <w:rFonts w:ascii="The Wave Sans TT" w:hAnsi="The Wave Sans TT" w:cs="Arial"/>
          <w:sz w:val="20"/>
          <w:szCs w:val="20"/>
        </w:rPr>
        <w:t xml:space="preserve">ς μας. </w:t>
      </w:r>
    </w:p>
    <w:p w14:paraId="7D87075C" w14:textId="488C6F5B" w:rsidR="009104B8" w:rsidRDefault="00BC12D7" w:rsidP="00144177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hAnsi="The Wave Sans TT" w:cs="Arial"/>
          <w:sz w:val="20"/>
          <w:szCs w:val="20"/>
        </w:rPr>
      </w:pPr>
      <w:r w:rsidRPr="00ED0EB4">
        <w:rPr>
          <w:rFonts w:ascii="The Wave Sans TT" w:hAnsi="The Wave Sans TT" w:cs="Arial"/>
          <w:b/>
          <w:sz w:val="20"/>
          <w:szCs w:val="20"/>
        </w:rPr>
        <w:t>Στη</w:t>
      </w:r>
      <w:r w:rsidR="00FD113E" w:rsidRPr="00ED0EB4">
        <w:rPr>
          <w:rFonts w:ascii="The Wave Sans TT" w:hAnsi="The Wave Sans TT" w:cs="Arial"/>
          <w:b/>
          <w:sz w:val="20"/>
          <w:szCs w:val="20"/>
        </w:rPr>
        <w:t xml:space="preserve"> λιανική </w:t>
      </w:r>
      <w:r w:rsidR="00620A1F" w:rsidRPr="00ED0EB4">
        <w:rPr>
          <w:rFonts w:ascii="The Wave Sans TT" w:hAnsi="The Wave Sans TT" w:cs="Arial"/>
          <w:b/>
          <w:sz w:val="20"/>
          <w:szCs w:val="20"/>
        </w:rPr>
        <w:t>Ε</w:t>
      </w:r>
      <w:r w:rsidR="00FD113E" w:rsidRPr="00ED0EB4">
        <w:rPr>
          <w:rFonts w:ascii="The Wave Sans TT" w:hAnsi="The Wave Sans TT" w:cs="Arial"/>
          <w:b/>
          <w:sz w:val="20"/>
          <w:szCs w:val="20"/>
        </w:rPr>
        <w:t>μπορία</w:t>
      </w:r>
      <w:r w:rsidR="00FD113E">
        <w:rPr>
          <w:rFonts w:ascii="The Wave Sans TT" w:hAnsi="The Wave Sans TT" w:cs="Arial"/>
          <w:sz w:val="20"/>
          <w:szCs w:val="20"/>
        </w:rPr>
        <w:t xml:space="preserve">, η συνεχιζόμενη </w:t>
      </w:r>
      <w:r>
        <w:rPr>
          <w:rFonts w:ascii="The Wave Sans TT" w:hAnsi="The Wave Sans TT" w:cs="Arial"/>
          <w:sz w:val="20"/>
          <w:szCs w:val="20"/>
        </w:rPr>
        <w:t>επέκταση</w:t>
      </w:r>
      <w:r w:rsidR="00FD113E">
        <w:rPr>
          <w:rFonts w:ascii="The Wave Sans TT" w:hAnsi="The Wave Sans TT" w:cs="Arial"/>
          <w:sz w:val="20"/>
          <w:szCs w:val="20"/>
        </w:rPr>
        <w:t xml:space="preserve"> τ</w:t>
      </w:r>
      <w:r>
        <w:rPr>
          <w:rFonts w:ascii="The Wave Sans TT" w:hAnsi="The Wave Sans TT" w:cs="Arial"/>
          <w:sz w:val="20"/>
          <w:szCs w:val="20"/>
        </w:rPr>
        <w:t xml:space="preserve">ου δικτύου </w:t>
      </w:r>
      <w:r w:rsidR="00FD113E">
        <w:rPr>
          <w:rFonts w:ascii="The Wave Sans TT" w:hAnsi="The Wave Sans TT" w:cs="Arial"/>
          <w:sz w:val="20"/>
          <w:szCs w:val="20"/>
        </w:rPr>
        <w:t xml:space="preserve">στο εξωτερικό, η ηλεκτροκίνηση και η </w:t>
      </w:r>
      <w:r w:rsidR="00005319">
        <w:rPr>
          <w:rFonts w:ascii="The Wave Sans TT" w:hAnsi="The Wave Sans TT" w:cs="Arial"/>
          <w:sz w:val="20"/>
          <w:szCs w:val="20"/>
        </w:rPr>
        <w:t>διαρκής</w:t>
      </w:r>
      <w:r w:rsidR="006A6860">
        <w:rPr>
          <w:rFonts w:ascii="The Wave Sans TT" w:hAnsi="The Wave Sans TT" w:cs="Arial"/>
          <w:sz w:val="20"/>
          <w:szCs w:val="20"/>
        </w:rPr>
        <w:t xml:space="preserve"> αναβάθμιση</w:t>
      </w:r>
      <w:r w:rsidR="00FD113E">
        <w:rPr>
          <w:rFonts w:ascii="The Wave Sans TT" w:hAnsi="The Wave Sans TT" w:cs="Arial"/>
          <w:sz w:val="20"/>
          <w:szCs w:val="20"/>
        </w:rPr>
        <w:t xml:space="preserve"> των πρατηρίων μας που αποτελούν </w:t>
      </w:r>
      <w:r>
        <w:rPr>
          <w:rFonts w:ascii="The Wave Sans TT" w:hAnsi="The Wave Sans TT" w:cs="Arial"/>
          <w:sz w:val="20"/>
          <w:szCs w:val="20"/>
        </w:rPr>
        <w:t xml:space="preserve">το σημείο </w:t>
      </w:r>
      <w:r w:rsidR="00FD113E">
        <w:rPr>
          <w:rFonts w:ascii="The Wave Sans TT" w:hAnsi="The Wave Sans TT" w:cs="Arial"/>
          <w:sz w:val="20"/>
          <w:szCs w:val="20"/>
        </w:rPr>
        <w:t>επαφή</w:t>
      </w:r>
      <w:r>
        <w:rPr>
          <w:rFonts w:ascii="The Wave Sans TT" w:hAnsi="The Wave Sans TT" w:cs="Arial"/>
          <w:sz w:val="20"/>
          <w:szCs w:val="20"/>
        </w:rPr>
        <w:t xml:space="preserve">ς </w:t>
      </w:r>
      <w:r w:rsidR="00FD113E">
        <w:rPr>
          <w:rFonts w:ascii="The Wave Sans TT" w:hAnsi="The Wave Sans TT" w:cs="Arial"/>
          <w:sz w:val="20"/>
          <w:szCs w:val="20"/>
        </w:rPr>
        <w:t>με το</w:t>
      </w:r>
      <w:r>
        <w:rPr>
          <w:rFonts w:ascii="The Wave Sans TT" w:hAnsi="The Wave Sans TT" w:cs="Arial"/>
          <w:sz w:val="20"/>
          <w:szCs w:val="20"/>
        </w:rPr>
        <w:t>ν τελικό</w:t>
      </w:r>
      <w:r w:rsidR="00FD113E">
        <w:rPr>
          <w:rFonts w:ascii="The Wave Sans TT" w:hAnsi="The Wave Sans TT" w:cs="Arial"/>
          <w:sz w:val="20"/>
          <w:szCs w:val="20"/>
        </w:rPr>
        <w:t xml:space="preserve"> καταναλωτή</w:t>
      </w:r>
      <w:r>
        <w:rPr>
          <w:rFonts w:ascii="The Wave Sans TT" w:hAnsi="The Wave Sans TT" w:cs="Arial"/>
          <w:sz w:val="20"/>
          <w:szCs w:val="20"/>
        </w:rPr>
        <w:t>,</w:t>
      </w:r>
      <w:r w:rsidR="00FD113E">
        <w:rPr>
          <w:rFonts w:ascii="The Wave Sans TT" w:hAnsi="The Wave Sans TT" w:cs="Arial"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sz w:val="20"/>
          <w:szCs w:val="20"/>
        </w:rPr>
        <w:t>αποτελούν συνεχή προτεραιότητα.</w:t>
      </w:r>
      <w:r w:rsidR="00FD113E">
        <w:rPr>
          <w:rFonts w:ascii="The Wave Sans TT" w:hAnsi="The Wave Sans TT" w:cs="Arial"/>
          <w:sz w:val="20"/>
          <w:szCs w:val="20"/>
        </w:rPr>
        <w:t xml:space="preserve"> </w:t>
      </w:r>
    </w:p>
    <w:p w14:paraId="4032450A" w14:textId="0E0ECB90" w:rsidR="0050432E" w:rsidRDefault="0019683E" w:rsidP="00E1181F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hAnsi="The Wave Sans TT" w:cs="Arial"/>
          <w:b/>
          <w:sz w:val="20"/>
          <w:szCs w:val="20"/>
        </w:rPr>
      </w:pPr>
      <w:r w:rsidRPr="00ED0EB4">
        <w:rPr>
          <w:rFonts w:ascii="The Wave Sans TT" w:hAnsi="The Wave Sans TT" w:cs="Arial"/>
          <w:b/>
          <w:sz w:val="20"/>
          <w:szCs w:val="20"/>
        </w:rPr>
        <w:t xml:space="preserve">Στον </w:t>
      </w:r>
      <w:r w:rsidR="006B1C4C" w:rsidRPr="00ED0EB4">
        <w:rPr>
          <w:rFonts w:ascii="The Wave Sans TT" w:hAnsi="The Wave Sans TT" w:cs="Arial"/>
          <w:b/>
          <w:sz w:val="20"/>
          <w:szCs w:val="20"/>
        </w:rPr>
        <w:t>τομέα</w:t>
      </w:r>
      <w:r w:rsidRPr="00ED0EB4">
        <w:rPr>
          <w:rFonts w:ascii="The Wave Sans TT" w:hAnsi="The Wave Sans TT" w:cs="Arial"/>
          <w:b/>
          <w:sz w:val="20"/>
          <w:szCs w:val="20"/>
        </w:rPr>
        <w:t xml:space="preserve"> των ΑΠΕ</w:t>
      </w:r>
      <w:r w:rsidRPr="006A4184">
        <w:rPr>
          <w:rFonts w:ascii="The Wave Sans TT" w:hAnsi="The Wave Sans TT" w:cs="Arial"/>
          <w:sz w:val="20"/>
          <w:szCs w:val="20"/>
        </w:rPr>
        <w:t xml:space="preserve">, </w:t>
      </w:r>
      <w:r w:rsidR="0050432E" w:rsidRPr="006A4184">
        <w:rPr>
          <w:rFonts w:ascii="The Wave Sans TT" w:hAnsi="The Wave Sans TT" w:cs="Arial"/>
          <w:sz w:val="20"/>
          <w:szCs w:val="20"/>
        </w:rPr>
        <w:t xml:space="preserve">η </w:t>
      </w:r>
      <w:r w:rsidR="0050432E" w:rsidRPr="006A4184">
        <w:rPr>
          <w:rFonts w:ascii="The Wave Sans TT" w:hAnsi="The Wave Sans TT" w:cs="Arial"/>
          <w:sz w:val="20"/>
          <w:szCs w:val="20"/>
          <w:lang w:val="en-US"/>
        </w:rPr>
        <w:t>HELLENiQ</w:t>
      </w:r>
      <w:r w:rsidR="0050432E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50432E" w:rsidRPr="006A4184">
        <w:rPr>
          <w:rFonts w:ascii="The Wave Sans TT" w:hAnsi="The Wave Sans TT" w:cs="Arial"/>
          <w:sz w:val="20"/>
          <w:szCs w:val="20"/>
          <w:lang w:val="en-US"/>
        </w:rPr>
        <w:t>Renewables</w:t>
      </w:r>
      <w:r w:rsidR="00C1236A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387FD2" w:rsidRPr="006A4184">
        <w:rPr>
          <w:rFonts w:ascii="The Wave Sans TT" w:hAnsi="The Wave Sans TT" w:cs="Arial"/>
          <w:sz w:val="20"/>
          <w:szCs w:val="20"/>
        </w:rPr>
        <w:t xml:space="preserve">κατά τη διάρκεια του 2023 επιτάχυνε </w:t>
      </w:r>
      <w:r w:rsidR="00D768CB" w:rsidRPr="006A4184">
        <w:rPr>
          <w:rFonts w:ascii="The Wave Sans TT" w:hAnsi="The Wave Sans TT" w:cs="Arial"/>
          <w:sz w:val="20"/>
          <w:szCs w:val="20"/>
        </w:rPr>
        <w:t xml:space="preserve">σημαντικά 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τη διεύρυνση </w:t>
      </w:r>
      <w:r w:rsidR="000A1EB2" w:rsidRPr="006A4184">
        <w:rPr>
          <w:rFonts w:ascii="The Wave Sans TT" w:hAnsi="The Wave Sans TT" w:cs="Arial"/>
          <w:sz w:val="20"/>
          <w:szCs w:val="20"/>
        </w:rPr>
        <w:t>του χαρτοφυλακίου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BC12D7" w:rsidRPr="006A4184">
        <w:rPr>
          <w:rFonts w:ascii="The Wave Sans TT" w:hAnsi="The Wave Sans TT" w:cs="Arial"/>
          <w:sz w:val="20"/>
          <w:szCs w:val="20"/>
        </w:rPr>
        <w:t>της,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005319" w:rsidRPr="006A4184">
        <w:rPr>
          <w:rFonts w:ascii="The Wave Sans TT" w:hAnsi="The Wave Sans TT" w:cs="Arial"/>
          <w:sz w:val="20"/>
          <w:szCs w:val="20"/>
        </w:rPr>
        <w:t xml:space="preserve">ώστε σταδιακά να κατακτήσει 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ηγετική </w:t>
      </w:r>
      <w:r w:rsidR="00BC12D7" w:rsidRPr="006A4184">
        <w:rPr>
          <w:rFonts w:ascii="The Wave Sans TT" w:hAnsi="The Wave Sans TT" w:cs="Arial"/>
          <w:sz w:val="20"/>
          <w:szCs w:val="20"/>
        </w:rPr>
        <w:t xml:space="preserve">θέση τόσο 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στην </w:t>
      </w:r>
      <w:r w:rsidR="00DF24E9">
        <w:rPr>
          <w:rFonts w:ascii="The Wave Sans TT" w:hAnsi="The Wave Sans TT" w:cs="Arial"/>
          <w:sz w:val="20"/>
          <w:szCs w:val="20"/>
        </w:rPr>
        <w:t>ε</w:t>
      </w:r>
      <w:r w:rsidR="006A6860" w:rsidRPr="006A4184">
        <w:rPr>
          <w:rFonts w:ascii="The Wave Sans TT" w:hAnsi="The Wave Sans TT" w:cs="Arial"/>
          <w:sz w:val="20"/>
          <w:szCs w:val="20"/>
        </w:rPr>
        <w:t>λληνική αγορά</w:t>
      </w:r>
      <w:r w:rsidR="00005319" w:rsidRPr="006A4184">
        <w:rPr>
          <w:rFonts w:ascii="The Wave Sans TT" w:hAnsi="The Wave Sans TT" w:cs="Arial"/>
          <w:sz w:val="20"/>
          <w:szCs w:val="20"/>
        </w:rPr>
        <w:t>,</w:t>
      </w:r>
      <w:r w:rsidR="006A4184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BC12D7" w:rsidRPr="006A4184">
        <w:rPr>
          <w:rFonts w:ascii="The Wave Sans TT" w:hAnsi="The Wave Sans TT" w:cs="Arial"/>
          <w:sz w:val="20"/>
          <w:szCs w:val="20"/>
        </w:rPr>
        <w:t>όσο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 και σε επιλεγμένες αγορές του εξωτερικού</w:t>
      </w:r>
      <w:r w:rsidR="00D768CB" w:rsidRPr="006A4184">
        <w:rPr>
          <w:rFonts w:ascii="The Wave Sans TT" w:hAnsi="The Wave Sans TT" w:cs="Arial"/>
          <w:sz w:val="20"/>
          <w:szCs w:val="20"/>
        </w:rPr>
        <w:t>. Συγ</w:t>
      </w:r>
      <w:r w:rsidR="00D768CB" w:rsidRPr="00D768CB">
        <w:rPr>
          <w:rFonts w:ascii="The Wave Sans TT" w:hAnsi="The Wave Sans TT" w:cs="Arial"/>
          <w:sz w:val="20"/>
          <w:szCs w:val="20"/>
        </w:rPr>
        <w:t xml:space="preserve">κεκριμένα, με την ολοκλήρωση σειράς συμφωνιών σε Ελλάδα, Κύπρο και Ρουμανία, στο τέλος του 2023 διέθετε </w:t>
      </w:r>
      <w:bookmarkStart w:id="2" w:name="_Hlk149492916"/>
      <w:r w:rsidR="00D768CB" w:rsidRPr="00D768CB">
        <w:rPr>
          <w:rFonts w:ascii="The Wave Sans TT" w:hAnsi="The Wave Sans TT" w:cs="Arial"/>
          <w:b/>
          <w:sz w:val="20"/>
          <w:szCs w:val="20"/>
        </w:rPr>
        <w:t>εγκα</w:t>
      </w:r>
      <w:r w:rsidR="001A1071" w:rsidRPr="00D768CB">
        <w:rPr>
          <w:rFonts w:ascii="The Wave Sans TT" w:hAnsi="The Wave Sans TT" w:cs="Arial"/>
          <w:b/>
          <w:sz w:val="20"/>
          <w:szCs w:val="20"/>
        </w:rPr>
        <w:t xml:space="preserve">τεστημένη ισχύ 356 </w:t>
      </w:r>
      <w:r w:rsidR="001A1071" w:rsidRPr="00D768CB">
        <w:rPr>
          <w:rFonts w:ascii="The Wave Sans TT" w:hAnsi="The Wave Sans TT" w:cs="Arial"/>
          <w:b/>
          <w:sz w:val="20"/>
          <w:szCs w:val="20"/>
          <w:lang w:val="en-US"/>
        </w:rPr>
        <w:t>MW</w:t>
      </w:r>
      <w:r w:rsidR="001A1071" w:rsidRPr="00D768CB">
        <w:rPr>
          <w:rFonts w:ascii="The Wave Sans TT" w:hAnsi="The Wave Sans TT" w:cs="Arial"/>
          <w:b/>
          <w:sz w:val="20"/>
          <w:szCs w:val="20"/>
        </w:rPr>
        <w:t xml:space="preserve"> και έργα σε προχωρημένα στάδια ανάπτυξης </w:t>
      </w:r>
      <w:r w:rsidR="006A6860">
        <w:rPr>
          <w:rFonts w:ascii="The Wave Sans TT" w:hAnsi="The Wave Sans TT" w:cs="Arial"/>
          <w:b/>
          <w:sz w:val="20"/>
          <w:szCs w:val="20"/>
        </w:rPr>
        <w:t xml:space="preserve">ή </w:t>
      </w:r>
      <w:r w:rsidR="005B6500">
        <w:rPr>
          <w:rFonts w:ascii="The Wave Sans TT" w:hAnsi="The Wave Sans TT" w:cs="Arial"/>
          <w:b/>
          <w:sz w:val="20"/>
          <w:szCs w:val="20"/>
        </w:rPr>
        <w:t xml:space="preserve">σε </w:t>
      </w:r>
      <w:r w:rsidR="006A6860">
        <w:rPr>
          <w:rFonts w:ascii="The Wave Sans TT" w:hAnsi="The Wave Sans TT" w:cs="Arial"/>
          <w:b/>
          <w:sz w:val="20"/>
          <w:szCs w:val="20"/>
        </w:rPr>
        <w:t xml:space="preserve">κατασκευή </w:t>
      </w:r>
      <w:r w:rsidR="001A1071" w:rsidRPr="00D768CB">
        <w:rPr>
          <w:rFonts w:ascii="The Wave Sans TT" w:hAnsi="The Wave Sans TT" w:cs="Arial"/>
          <w:b/>
          <w:sz w:val="20"/>
          <w:szCs w:val="20"/>
        </w:rPr>
        <w:t>συνολική</w:t>
      </w:r>
      <w:r w:rsidR="006A6860">
        <w:rPr>
          <w:rFonts w:ascii="The Wave Sans TT" w:hAnsi="The Wave Sans TT" w:cs="Arial"/>
          <w:b/>
          <w:sz w:val="20"/>
          <w:szCs w:val="20"/>
        </w:rPr>
        <w:t>ς</w:t>
      </w:r>
      <w:r w:rsidR="001A1071" w:rsidRPr="00D768CB">
        <w:rPr>
          <w:rFonts w:ascii="The Wave Sans TT" w:hAnsi="The Wave Sans TT" w:cs="Arial"/>
          <w:b/>
          <w:sz w:val="20"/>
          <w:szCs w:val="20"/>
        </w:rPr>
        <w:t xml:space="preserve"> ισχύ</w:t>
      </w:r>
      <w:r w:rsidR="006A6860">
        <w:rPr>
          <w:rFonts w:ascii="The Wave Sans TT" w:hAnsi="The Wave Sans TT" w:cs="Arial"/>
          <w:b/>
          <w:sz w:val="20"/>
          <w:szCs w:val="20"/>
        </w:rPr>
        <w:t>ος</w:t>
      </w:r>
      <w:r w:rsidR="001A1071" w:rsidRPr="00D768CB">
        <w:rPr>
          <w:rFonts w:ascii="The Wave Sans TT" w:hAnsi="The Wave Sans TT" w:cs="Arial"/>
          <w:b/>
          <w:sz w:val="20"/>
          <w:szCs w:val="20"/>
        </w:rPr>
        <w:t xml:space="preserve"> </w:t>
      </w:r>
      <w:r w:rsidR="0012589A" w:rsidRPr="00D768CB">
        <w:rPr>
          <w:rFonts w:ascii="The Wave Sans TT" w:hAnsi="The Wave Sans TT" w:cs="Arial"/>
          <w:b/>
          <w:sz w:val="20"/>
          <w:szCs w:val="20"/>
        </w:rPr>
        <w:t xml:space="preserve">0,7 </w:t>
      </w:r>
      <w:r w:rsidR="0012589A" w:rsidRPr="00D768CB">
        <w:rPr>
          <w:rFonts w:ascii="The Wave Sans TT" w:hAnsi="The Wave Sans TT" w:cs="Arial"/>
          <w:b/>
          <w:sz w:val="20"/>
          <w:szCs w:val="20"/>
          <w:lang w:val="en-US"/>
        </w:rPr>
        <w:t>G</w:t>
      </w:r>
      <w:r w:rsidR="001A1071" w:rsidRPr="00D768CB">
        <w:rPr>
          <w:rFonts w:ascii="The Wave Sans TT" w:hAnsi="The Wave Sans TT" w:cs="Arial"/>
          <w:b/>
          <w:sz w:val="20"/>
          <w:szCs w:val="20"/>
          <w:lang w:val="en-US"/>
        </w:rPr>
        <w:t>W</w:t>
      </w:r>
      <w:bookmarkEnd w:id="2"/>
      <w:r w:rsidR="006A6860">
        <w:rPr>
          <w:rFonts w:ascii="The Wave Sans TT" w:hAnsi="The Wave Sans TT" w:cs="Arial"/>
          <w:b/>
          <w:sz w:val="20"/>
          <w:szCs w:val="20"/>
        </w:rPr>
        <w:t>.</w:t>
      </w:r>
      <w:r w:rsidR="00D768CB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Την ίδια στιγμή, </w:t>
      </w:r>
      <w:r w:rsidR="00D768CB" w:rsidRPr="006A4184">
        <w:rPr>
          <w:rFonts w:ascii="The Wave Sans TT" w:hAnsi="The Wave Sans TT" w:cs="Arial"/>
          <w:sz w:val="20"/>
          <w:szCs w:val="20"/>
        </w:rPr>
        <w:t>το συνολικό χαρτοφυλάκιο έργων υπό ανάπτυξη ανέρχεται σε 4,</w:t>
      </w:r>
      <w:r w:rsidR="00DF24E9">
        <w:rPr>
          <w:rFonts w:ascii="The Wave Sans TT" w:hAnsi="The Wave Sans TT" w:cs="Arial"/>
          <w:sz w:val="20"/>
          <w:szCs w:val="20"/>
        </w:rPr>
        <w:t>3</w:t>
      </w:r>
      <w:r w:rsidR="00D768CB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D768CB" w:rsidRPr="006A4184">
        <w:rPr>
          <w:rFonts w:ascii="The Wave Sans TT" w:hAnsi="The Wave Sans TT" w:cs="Arial"/>
          <w:sz w:val="20"/>
          <w:szCs w:val="20"/>
          <w:lang w:val="en-US"/>
        </w:rPr>
        <w:t>GW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, ενώ πρόθεση είναι η </w:t>
      </w:r>
      <w:r w:rsidR="00005319">
        <w:rPr>
          <w:rFonts w:ascii="The Wave Sans TT" w:hAnsi="The Wave Sans TT" w:cs="Arial"/>
          <w:sz w:val="20"/>
          <w:szCs w:val="20"/>
        </w:rPr>
        <w:t xml:space="preserve">δραστηριοποίηση </w:t>
      </w:r>
      <w:r w:rsidR="006A6860" w:rsidRPr="006A4184">
        <w:rPr>
          <w:rFonts w:ascii="The Wave Sans TT" w:hAnsi="The Wave Sans TT" w:cs="Arial"/>
          <w:sz w:val="20"/>
          <w:szCs w:val="20"/>
        </w:rPr>
        <w:t>και σε άλλες αγορές</w:t>
      </w:r>
      <w:r w:rsidR="00D768CB" w:rsidRPr="006A4184">
        <w:rPr>
          <w:rFonts w:ascii="The Wave Sans TT" w:hAnsi="The Wave Sans TT" w:cs="Arial"/>
          <w:sz w:val="20"/>
          <w:szCs w:val="20"/>
        </w:rPr>
        <w:t>.</w:t>
      </w:r>
      <w:r w:rsidR="00D768CB" w:rsidRPr="00D768CB">
        <w:rPr>
          <w:rFonts w:ascii="The Wave Sans TT" w:hAnsi="The Wave Sans TT" w:cs="Arial"/>
          <w:b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b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sz w:val="20"/>
          <w:szCs w:val="20"/>
        </w:rPr>
        <w:t xml:space="preserve">Η μέχρι τώρα πορεία δίνει ένα πρώτο </w:t>
      </w:r>
      <w:r w:rsidR="00DF24E9">
        <w:rPr>
          <w:rFonts w:ascii="The Wave Sans TT" w:hAnsi="The Wave Sans TT" w:cs="Arial"/>
          <w:sz w:val="20"/>
          <w:szCs w:val="20"/>
        </w:rPr>
        <w:t>σημείο</w:t>
      </w:r>
      <w:r w:rsidR="00D424AB">
        <w:rPr>
          <w:rFonts w:ascii="The Wave Sans TT" w:hAnsi="The Wave Sans TT" w:cs="Arial"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sz w:val="20"/>
          <w:szCs w:val="20"/>
        </w:rPr>
        <w:t xml:space="preserve">αναφοράς </w:t>
      </w:r>
      <w:r w:rsidR="00005319">
        <w:rPr>
          <w:rFonts w:ascii="The Wave Sans TT" w:hAnsi="The Wave Sans TT" w:cs="Arial"/>
          <w:sz w:val="20"/>
          <w:szCs w:val="20"/>
        </w:rPr>
        <w:t xml:space="preserve">για την επίτευξη του </w:t>
      </w:r>
      <w:r w:rsidR="006A6860" w:rsidRPr="006A4184">
        <w:rPr>
          <w:rFonts w:ascii="The Wave Sans TT" w:hAnsi="The Wave Sans TT" w:cs="Arial"/>
          <w:sz w:val="20"/>
          <w:szCs w:val="20"/>
        </w:rPr>
        <w:t>στόχο</w:t>
      </w:r>
      <w:r w:rsidR="00D424AB">
        <w:rPr>
          <w:rFonts w:ascii="The Wave Sans TT" w:hAnsi="The Wave Sans TT" w:cs="Arial"/>
          <w:sz w:val="20"/>
          <w:szCs w:val="20"/>
        </w:rPr>
        <w:t>υ</w:t>
      </w:r>
      <w:r w:rsidR="006A6860" w:rsidRPr="006A4184">
        <w:rPr>
          <w:rFonts w:ascii="The Wave Sans TT" w:hAnsi="The Wave Sans TT" w:cs="Arial"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sz w:val="20"/>
          <w:szCs w:val="20"/>
        </w:rPr>
        <w:t xml:space="preserve">που </w:t>
      </w:r>
      <w:r w:rsidR="00D424AB">
        <w:rPr>
          <w:rFonts w:ascii="The Wave Sans TT" w:hAnsi="The Wave Sans TT" w:cs="Arial"/>
          <w:sz w:val="20"/>
          <w:szCs w:val="20"/>
        </w:rPr>
        <w:t xml:space="preserve">έχει τεθεί, για </w:t>
      </w:r>
      <w:r w:rsidR="006A6860">
        <w:rPr>
          <w:rFonts w:ascii="The Wave Sans TT" w:hAnsi="The Wave Sans TT" w:cs="Arial"/>
          <w:sz w:val="20"/>
          <w:szCs w:val="20"/>
        </w:rPr>
        <w:t xml:space="preserve">λειτουργία </w:t>
      </w:r>
      <w:r w:rsidR="006A6860">
        <w:rPr>
          <w:rFonts w:ascii="The Wave Sans TT" w:hAnsi="The Wave Sans TT" w:cs="Arial"/>
          <w:b/>
          <w:sz w:val="20"/>
          <w:szCs w:val="20"/>
        </w:rPr>
        <w:t xml:space="preserve">πάρκων </w:t>
      </w:r>
      <w:r w:rsidR="0070003B" w:rsidRPr="00D768CB">
        <w:rPr>
          <w:rFonts w:ascii="The Wave Sans TT" w:hAnsi="The Wave Sans TT" w:cs="Arial"/>
          <w:b/>
          <w:sz w:val="20"/>
          <w:szCs w:val="20"/>
        </w:rPr>
        <w:t xml:space="preserve">ισχύος τουλάχιστον 1 </w:t>
      </w:r>
      <w:r w:rsidR="0070003B" w:rsidRPr="00D768CB">
        <w:rPr>
          <w:rFonts w:ascii="The Wave Sans TT" w:hAnsi="The Wave Sans TT" w:cs="Arial"/>
          <w:b/>
          <w:sz w:val="20"/>
          <w:szCs w:val="20"/>
          <w:lang w:val="en-US"/>
        </w:rPr>
        <w:t>GW</w:t>
      </w:r>
      <w:r w:rsidR="0070003B" w:rsidRPr="00D768CB">
        <w:rPr>
          <w:rFonts w:ascii="The Wave Sans TT" w:hAnsi="The Wave Sans TT" w:cs="Arial"/>
          <w:b/>
          <w:sz w:val="20"/>
          <w:szCs w:val="20"/>
        </w:rPr>
        <w:t xml:space="preserve"> μέχρι το 2025</w:t>
      </w:r>
      <w:r w:rsidR="00446E39">
        <w:rPr>
          <w:rFonts w:ascii="The Wave Sans TT" w:hAnsi="The Wave Sans TT" w:cs="Arial"/>
          <w:b/>
          <w:sz w:val="20"/>
          <w:szCs w:val="20"/>
        </w:rPr>
        <w:t xml:space="preserve"> και</w:t>
      </w:r>
      <w:r w:rsidR="0089525B">
        <w:rPr>
          <w:rFonts w:ascii="The Wave Sans TT" w:hAnsi="The Wave Sans TT" w:cs="Arial"/>
          <w:b/>
          <w:sz w:val="20"/>
          <w:szCs w:val="20"/>
        </w:rPr>
        <w:t xml:space="preserve"> </w:t>
      </w:r>
      <w:r w:rsidR="006A6860">
        <w:rPr>
          <w:rFonts w:ascii="The Wave Sans TT" w:hAnsi="The Wave Sans TT" w:cs="Arial"/>
          <w:b/>
          <w:sz w:val="20"/>
          <w:szCs w:val="20"/>
        </w:rPr>
        <w:t xml:space="preserve">ανάπτυξη και λειτουργία </w:t>
      </w:r>
      <w:r w:rsidR="00D424AB">
        <w:rPr>
          <w:rFonts w:ascii="The Wave Sans TT" w:hAnsi="The Wave Sans TT" w:cs="Arial"/>
          <w:b/>
          <w:sz w:val="20"/>
          <w:szCs w:val="20"/>
        </w:rPr>
        <w:t xml:space="preserve">έργων </w:t>
      </w:r>
      <w:r w:rsidR="0089525B">
        <w:rPr>
          <w:rFonts w:ascii="The Wave Sans TT" w:hAnsi="The Wave Sans TT" w:cs="Arial"/>
          <w:b/>
          <w:sz w:val="20"/>
          <w:szCs w:val="20"/>
        </w:rPr>
        <w:t>άνω των</w:t>
      </w:r>
      <w:r w:rsidR="00446E39">
        <w:rPr>
          <w:rFonts w:ascii="The Wave Sans TT" w:hAnsi="The Wave Sans TT" w:cs="Arial"/>
          <w:b/>
          <w:sz w:val="20"/>
          <w:szCs w:val="20"/>
        </w:rPr>
        <w:t xml:space="preserve"> </w:t>
      </w:r>
      <w:r w:rsidR="00446E39" w:rsidRPr="00446E39">
        <w:rPr>
          <w:rFonts w:ascii="The Wave Sans TT" w:hAnsi="The Wave Sans TT" w:cs="Arial"/>
          <w:b/>
          <w:sz w:val="20"/>
          <w:szCs w:val="20"/>
        </w:rPr>
        <w:t xml:space="preserve">2 </w:t>
      </w:r>
      <w:r w:rsidR="00446E39">
        <w:rPr>
          <w:rFonts w:ascii="The Wave Sans TT" w:hAnsi="The Wave Sans TT" w:cs="Arial"/>
          <w:b/>
          <w:sz w:val="20"/>
          <w:szCs w:val="20"/>
          <w:lang w:val="en-US"/>
        </w:rPr>
        <w:t>GW</w:t>
      </w:r>
      <w:r w:rsidR="00446E39" w:rsidRPr="00446E39">
        <w:rPr>
          <w:rFonts w:ascii="The Wave Sans TT" w:hAnsi="The Wave Sans TT" w:cs="Arial"/>
          <w:b/>
          <w:sz w:val="20"/>
          <w:szCs w:val="20"/>
        </w:rPr>
        <w:t xml:space="preserve"> </w:t>
      </w:r>
      <w:r w:rsidR="00446E39">
        <w:rPr>
          <w:rFonts w:ascii="The Wave Sans TT" w:hAnsi="The Wave Sans TT" w:cs="Arial"/>
          <w:b/>
          <w:sz w:val="20"/>
          <w:szCs w:val="20"/>
        </w:rPr>
        <w:t>μέχρι το 2030.</w:t>
      </w:r>
    </w:p>
    <w:p w14:paraId="0FFFF51D" w14:textId="6F7B1F36" w:rsidR="00734A02" w:rsidRPr="00D768CB" w:rsidRDefault="00734A02" w:rsidP="00E1181F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hAnsi="The Wave Sans TT" w:cs="Arial"/>
          <w:sz w:val="20"/>
          <w:szCs w:val="20"/>
        </w:rPr>
      </w:pPr>
      <w:r w:rsidRPr="00ED0EB4">
        <w:rPr>
          <w:rFonts w:ascii="The Wave Sans TT" w:hAnsi="The Wave Sans TT" w:cs="Arial"/>
          <w:b/>
          <w:sz w:val="20"/>
          <w:szCs w:val="20"/>
        </w:rPr>
        <w:t>Στον τομέα της Έρευνας και Παραγωγής Υδρογονανθράκων,</w:t>
      </w:r>
      <w:r w:rsidRPr="009104B8">
        <w:rPr>
          <w:rFonts w:ascii="The Wave Sans TT" w:hAnsi="The Wave Sans TT" w:cs="Arial"/>
          <w:sz w:val="20"/>
          <w:szCs w:val="20"/>
        </w:rPr>
        <w:t xml:space="preserve"> ολοκληρώθηκε η απόκτηση τρισδιάστατων γεωφυσικών καταγραφών σε 3 θαλάσσιες περιοχές («Ιόνιο», «</w:t>
      </w:r>
      <w:r w:rsidRPr="009104B8">
        <w:rPr>
          <w:rFonts w:ascii="The Wave Sans TT" w:hAnsi="The Wave Sans TT" w:cs="Arial"/>
          <w:sz w:val="20"/>
          <w:szCs w:val="20"/>
          <w:lang w:val="en-US"/>
        </w:rPr>
        <w:t>Block</w:t>
      </w:r>
      <w:r w:rsidRPr="009104B8">
        <w:rPr>
          <w:rFonts w:ascii="The Wave Sans TT" w:hAnsi="The Wave Sans TT" w:cs="Arial"/>
          <w:sz w:val="20"/>
          <w:szCs w:val="20"/>
        </w:rPr>
        <w:t xml:space="preserve"> 2», «</w:t>
      </w:r>
      <w:r w:rsidRPr="009104B8">
        <w:rPr>
          <w:rFonts w:ascii="The Wave Sans TT" w:hAnsi="The Wave Sans TT" w:cs="Arial"/>
          <w:sz w:val="20"/>
          <w:szCs w:val="20"/>
          <w:lang w:val="en-US"/>
        </w:rPr>
        <w:t>Block</w:t>
      </w:r>
      <w:r w:rsidRPr="009104B8">
        <w:rPr>
          <w:rFonts w:ascii="The Wave Sans TT" w:hAnsi="The Wave Sans TT" w:cs="Arial"/>
          <w:sz w:val="20"/>
          <w:szCs w:val="20"/>
        </w:rPr>
        <w:t xml:space="preserve"> 10»), καθώς και δισδιάστατων καταγραφών σε 2 θαλάσσιες περιοχές στην Κρήτη, με την επεξεργασία </w:t>
      </w:r>
      <w:r w:rsidR="006B1C4C">
        <w:rPr>
          <w:rFonts w:ascii="The Wave Sans TT" w:hAnsi="The Wave Sans TT" w:cs="Arial"/>
          <w:sz w:val="20"/>
          <w:szCs w:val="20"/>
        </w:rPr>
        <w:t xml:space="preserve">των δεδομένων </w:t>
      </w:r>
      <w:r>
        <w:rPr>
          <w:rFonts w:ascii="The Wave Sans TT" w:hAnsi="The Wave Sans TT" w:cs="Arial"/>
          <w:sz w:val="20"/>
          <w:szCs w:val="20"/>
        </w:rPr>
        <w:t xml:space="preserve">να βρίσκεται </w:t>
      </w:r>
      <w:r w:rsidRPr="009104B8">
        <w:rPr>
          <w:rFonts w:ascii="The Wave Sans TT" w:hAnsi="The Wave Sans TT" w:cs="Arial"/>
          <w:sz w:val="20"/>
          <w:szCs w:val="20"/>
        </w:rPr>
        <w:t>σε εξέλιξη</w:t>
      </w:r>
      <w:r w:rsidR="003C374B">
        <w:rPr>
          <w:rFonts w:ascii="The Wave Sans TT" w:hAnsi="The Wave Sans TT" w:cs="Arial"/>
          <w:sz w:val="20"/>
          <w:szCs w:val="20"/>
        </w:rPr>
        <w:t>. Στη δε Κρήτη, τ</w:t>
      </w:r>
      <w:r w:rsidR="0089525B">
        <w:rPr>
          <w:rFonts w:ascii="The Wave Sans TT" w:hAnsi="The Wave Sans TT" w:cs="Arial"/>
          <w:sz w:val="20"/>
          <w:szCs w:val="20"/>
        </w:rPr>
        <w:t xml:space="preserve">ρισδιάστατες γεωφυσικές καταγραφές </w:t>
      </w:r>
      <w:r w:rsidR="005B6500">
        <w:rPr>
          <w:rFonts w:ascii="The Wave Sans TT" w:hAnsi="The Wave Sans TT" w:cs="Arial"/>
          <w:sz w:val="20"/>
          <w:szCs w:val="20"/>
        </w:rPr>
        <w:t xml:space="preserve">υλοποιούνται στην περιοχή </w:t>
      </w:r>
      <w:r w:rsidR="00ED0EB4">
        <w:rPr>
          <w:rFonts w:ascii="The Wave Sans TT" w:hAnsi="The Wave Sans TT" w:cs="Arial"/>
          <w:sz w:val="20"/>
          <w:szCs w:val="20"/>
        </w:rPr>
        <w:t xml:space="preserve">και </w:t>
      </w:r>
      <w:r w:rsidR="006A6860">
        <w:rPr>
          <w:rFonts w:ascii="The Wave Sans TT" w:hAnsi="The Wave Sans TT" w:cs="Arial"/>
          <w:sz w:val="20"/>
          <w:szCs w:val="20"/>
        </w:rPr>
        <w:t>θα βοηθήσουν στην περαιτέρω αξιολόγηση και</w:t>
      </w:r>
      <w:r w:rsidR="00387061">
        <w:rPr>
          <w:rFonts w:ascii="The Wave Sans TT" w:hAnsi="The Wave Sans TT" w:cs="Arial"/>
          <w:sz w:val="20"/>
          <w:szCs w:val="20"/>
        </w:rPr>
        <w:t xml:space="preserve"> </w:t>
      </w:r>
      <w:r w:rsidR="00D424AB">
        <w:rPr>
          <w:rFonts w:ascii="The Wave Sans TT" w:hAnsi="The Wave Sans TT" w:cs="Arial"/>
          <w:sz w:val="20"/>
          <w:szCs w:val="20"/>
        </w:rPr>
        <w:t xml:space="preserve">τη λήψη τελικών </w:t>
      </w:r>
      <w:r w:rsidR="006A6860">
        <w:rPr>
          <w:rFonts w:ascii="The Wave Sans TT" w:hAnsi="The Wave Sans TT" w:cs="Arial"/>
          <w:sz w:val="20"/>
          <w:szCs w:val="20"/>
        </w:rPr>
        <w:t>αποφάσε</w:t>
      </w:r>
      <w:r w:rsidR="00D424AB">
        <w:rPr>
          <w:rFonts w:ascii="The Wave Sans TT" w:hAnsi="The Wave Sans TT" w:cs="Arial"/>
          <w:sz w:val="20"/>
          <w:szCs w:val="20"/>
        </w:rPr>
        <w:t>ων</w:t>
      </w:r>
      <w:r w:rsidR="006A6860">
        <w:rPr>
          <w:rFonts w:ascii="The Wave Sans TT" w:hAnsi="The Wave Sans TT" w:cs="Arial"/>
          <w:sz w:val="20"/>
          <w:szCs w:val="20"/>
        </w:rPr>
        <w:t xml:space="preserve"> </w:t>
      </w:r>
      <w:r w:rsidR="003C374B">
        <w:rPr>
          <w:rFonts w:ascii="The Wave Sans TT" w:hAnsi="The Wave Sans TT" w:cs="Arial"/>
          <w:sz w:val="20"/>
          <w:szCs w:val="20"/>
        </w:rPr>
        <w:t xml:space="preserve">για τα </w:t>
      </w:r>
      <w:r w:rsidR="006A6860">
        <w:rPr>
          <w:rFonts w:ascii="The Wave Sans TT" w:hAnsi="The Wave Sans TT" w:cs="Arial"/>
          <w:sz w:val="20"/>
          <w:szCs w:val="20"/>
        </w:rPr>
        <w:t>επόμενα βήματα.</w:t>
      </w:r>
    </w:p>
    <w:p w14:paraId="696B2270" w14:textId="7157EA5A" w:rsidR="009104B8" w:rsidRDefault="009104B8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9104B8">
        <w:rPr>
          <w:rFonts w:ascii="The Wave Sans TT" w:hAnsi="The Wave Sans TT" w:cs="Arial"/>
          <w:sz w:val="20"/>
          <w:szCs w:val="20"/>
        </w:rPr>
        <w:t xml:space="preserve">Η </w:t>
      </w:r>
      <w:r w:rsidRPr="00ED0EB4">
        <w:rPr>
          <w:rFonts w:ascii="The Wave Sans TT" w:hAnsi="The Wave Sans TT" w:cs="Arial"/>
          <w:b/>
          <w:sz w:val="20"/>
          <w:szCs w:val="20"/>
        </w:rPr>
        <w:t>υλοποίηση του προγράμματος ψηφιακού μετασχηματισμού</w:t>
      </w:r>
      <w:r w:rsidRPr="009104B8">
        <w:rPr>
          <w:rFonts w:ascii="The Wave Sans TT" w:hAnsi="The Wave Sans TT" w:cs="Arial"/>
          <w:sz w:val="20"/>
          <w:szCs w:val="20"/>
        </w:rPr>
        <w:t xml:space="preserve"> συνεχίζεται, με τη μέχρι τώρα επένδυση να </w:t>
      </w:r>
      <w:r w:rsidR="00E13F2C">
        <w:rPr>
          <w:rFonts w:ascii="The Wave Sans TT" w:hAnsi="The Wave Sans TT" w:cs="Arial"/>
          <w:sz w:val="20"/>
          <w:szCs w:val="20"/>
        </w:rPr>
        <w:t>ανέρχεται</w:t>
      </w:r>
      <w:r w:rsidRPr="009104B8">
        <w:rPr>
          <w:rFonts w:ascii="The Wave Sans TT" w:hAnsi="The Wave Sans TT" w:cs="Arial"/>
          <w:sz w:val="20"/>
          <w:szCs w:val="20"/>
        </w:rPr>
        <w:t xml:space="preserve"> στα €50 εκατ. και με ετ</w:t>
      </w:r>
      <w:r w:rsidR="003C374B">
        <w:rPr>
          <w:rFonts w:ascii="The Wave Sans TT" w:hAnsi="The Wave Sans TT" w:cs="Arial"/>
          <w:sz w:val="20"/>
          <w:szCs w:val="20"/>
        </w:rPr>
        <w:t>ή</w:t>
      </w:r>
      <w:r w:rsidRPr="009104B8">
        <w:rPr>
          <w:rFonts w:ascii="The Wave Sans TT" w:hAnsi="The Wave Sans TT" w:cs="Arial"/>
          <w:sz w:val="20"/>
          <w:szCs w:val="20"/>
        </w:rPr>
        <w:t xml:space="preserve">σιο όφελος €44 εκατ. </w:t>
      </w:r>
      <w:r w:rsidR="00387061">
        <w:rPr>
          <w:rFonts w:ascii="The Wave Sans TT" w:hAnsi="The Wave Sans TT" w:cs="Arial"/>
          <w:sz w:val="20"/>
          <w:szCs w:val="20"/>
        </w:rPr>
        <w:t xml:space="preserve">για </w:t>
      </w:r>
      <w:r w:rsidRPr="009104B8">
        <w:rPr>
          <w:rFonts w:ascii="The Wave Sans TT" w:hAnsi="The Wave Sans TT" w:cs="Arial"/>
          <w:sz w:val="20"/>
          <w:szCs w:val="20"/>
        </w:rPr>
        <w:t xml:space="preserve">το 2023, </w:t>
      </w:r>
      <w:r w:rsidR="00D243F7">
        <w:rPr>
          <w:rFonts w:ascii="The Wave Sans TT" w:hAnsi="The Wave Sans TT" w:cs="Arial"/>
          <w:sz w:val="20"/>
          <w:szCs w:val="20"/>
        </w:rPr>
        <w:t>το οποίο εκτιμάται ότι θα ξεπεράσει τα</w:t>
      </w:r>
      <w:r w:rsidRPr="009104B8">
        <w:rPr>
          <w:rFonts w:ascii="The Wave Sans TT" w:hAnsi="The Wave Sans TT" w:cs="Arial"/>
          <w:sz w:val="20"/>
          <w:szCs w:val="20"/>
        </w:rPr>
        <w:t xml:space="preserve"> €50 εκατ. το 2025</w:t>
      </w:r>
      <w:r w:rsidR="00A72F48" w:rsidRPr="00713E17">
        <w:rPr>
          <w:rFonts w:ascii="The Wave Sans TT" w:hAnsi="The Wave Sans TT" w:cs="Arial"/>
          <w:sz w:val="20"/>
          <w:szCs w:val="20"/>
        </w:rPr>
        <w:t>,</w:t>
      </w:r>
      <w:r w:rsidR="00101A6D">
        <w:rPr>
          <w:rFonts w:ascii="The Wave Sans TT" w:hAnsi="The Wave Sans TT" w:cs="Arial"/>
          <w:sz w:val="20"/>
          <w:szCs w:val="20"/>
        </w:rPr>
        <w:t xml:space="preserve"> καθιστώντας </w:t>
      </w:r>
      <w:r w:rsidR="00A72F48">
        <w:rPr>
          <w:rFonts w:ascii="The Wave Sans TT" w:hAnsi="The Wave Sans TT" w:cs="Arial"/>
          <w:sz w:val="20"/>
          <w:szCs w:val="20"/>
        </w:rPr>
        <w:t xml:space="preserve">το συγκεκριμένο πρόγραμμα μια </w:t>
      </w:r>
      <w:r w:rsidR="00101A6D">
        <w:rPr>
          <w:rFonts w:ascii="The Wave Sans TT" w:hAnsi="The Wave Sans TT" w:cs="Arial"/>
          <w:sz w:val="20"/>
          <w:szCs w:val="20"/>
        </w:rPr>
        <w:t>από τις πιο αποδοτικές επενδύσεις</w:t>
      </w:r>
      <w:r w:rsidR="00A72F48">
        <w:rPr>
          <w:rFonts w:ascii="The Wave Sans TT" w:hAnsi="The Wave Sans TT" w:cs="Arial"/>
          <w:sz w:val="20"/>
          <w:szCs w:val="20"/>
        </w:rPr>
        <w:t>,</w:t>
      </w:r>
      <w:r w:rsidR="00101A6D">
        <w:rPr>
          <w:rFonts w:ascii="The Wave Sans TT" w:hAnsi="The Wave Sans TT" w:cs="Arial"/>
          <w:sz w:val="20"/>
          <w:szCs w:val="20"/>
        </w:rPr>
        <w:t xml:space="preserve"> αλλά και </w:t>
      </w:r>
      <w:r w:rsidR="00A72F48">
        <w:rPr>
          <w:rFonts w:ascii="The Wave Sans TT" w:hAnsi="The Wave Sans TT" w:cs="Arial"/>
          <w:sz w:val="20"/>
          <w:szCs w:val="20"/>
        </w:rPr>
        <w:t xml:space="preserve">τις πιο </w:t>
      </w:r>
      <w:r w:rsidR="00101A6D">
        <w:rPr>
          <w:rFonts w:ascii="The Wave Sans TT" w:hAnsi="The Wave Sans TT" w:cs="Arial"/>
          <w:sz w:val="20"/>
          <w:szCs w:val="20"/>
        </w:rPr>
        <w:t>ουσιαστικές στην αλλαγή του τρόπου λειτουργίας.</w:t>
      </w:r>
    </w:p>
    <w:p w14:paraId="1A6447F6" w14:textId="77777777" w:rsidR="009104B8" w:rsidRPr="00251780" w:rsidRDefault="009104B8" w:rsidP="00164976">
      <w:pPr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</w:p>
    <w:p w14:paraId="14296EA7" w14:textId="77777777" w:rsidR="00164976" w:rsidRPr="000959A7" w:rsidRDefault="000A1EB2" w:rsidP="00164976">
      <w:pPr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  <w:r w:rsidRPr="000A1EB2">
        <w:rPr>
          <w:rFonts w:ascii="The Wave Sans TT" w:hAnsi="The Wave Sans TT" w:cs="Arial"/>
          <w:b/>
          <w:sz w:val="20"/>
          <w:szCs w:val="20"/>
        </w:rPr>
        <w:t xml:space="preserve">Ομαλοποίηση τιμών </w:t>
      </w:r>
      <w:r w:rsidR="000959A7" w:rsidRPr="000A1EB2">
        <w:rPr>
          <w:rFonts w:ascii="The Wave Sans TT" w:hAnsi="The Wave Sans TT" w:cs="Arial"/>
          <w:b/>
          <w:sz w:val="20"/>
          <w:szCs w:val="20"/>
        </w:rPr>
        <w:t xml:space="preserve">αργού </w:t>
      </w:r>
      <w:r w:rsidRPr="000A1EB2">
        <w:rPr>
          <w:rFonts w:ascii="The Wave Sans TT" w:hAnsi="The Wave Sans TT" w:cs="Arial"/>
          <w:b/>
          <w:sz w:val="20"/>
          <w:szCs w:val="20"/>
        </w:rPr>
        <w:t xml:space="preserve">και </w:t>
      </w:r>
      <w:r w:rsidR="00962F43" w:rsidRPr="000A1EB2">
        <w:rPr>
          <w:rFonts w:ascii="The Wave Sans TT" w:hAnsi="The Wave Sans TT" w:cs="Arial"/>
          <w:b/>
          <w:sz w:val="20"/>
          <w:szCs w:val="20"/>
        </w:rPr>
        <w:t>περιθ</w:t>
      </w:r>
      <w:r w:rsidRPr="000A1EB2">
        <w:rPr>
          <w:rFonts w:ascii="The Wave Sans TT" w:hAnsi="The Wave Sans TT" w:cs="Arial"/>
          <w:b/>
          <w:sz w:val="20"/>
          <w:szCs w:val="20"/>
        </w:rPr>
        <w:t xml:space="preserve">ωρίων </w:t>
      </w:r>
      <w:r w:rsidR="00164976" w:rsidRPr="000A1EB2">
        <w:rPr>
          <w:rFonts w:ascii="The Wave Sans TT" w:hAnsi="The Wave Sans TT" w:cs="Arial"/>
          <w:b/>
          <w:sz w:val="20"/>
          <w:szCs w:val="20"/>
        </w:rPr>
        <w:t>διύλισης</w:t>
      </w:r>
      <w:r w:rsidR="000959A7" w:rsidRPr="000A1EB2">
        <w:rPr>
          <w:rFonts w:ascii="The Wave Sans TT" w:hAnsi="The Wave Sans TT" w:cs="Arial"/>
          <w:b/>
          <w:sz w:val="20"/>
          <w:szCs w:val="20"/>
        </w:rPr>
        <w:t xml:space="preserve"> το 2023</w:t>
      </w:r>
    </w:p>
    <w:p w14:paraId="1486BEAF" w14:textId="77777777" w:rsidR="00164976" w:rsidRPr="00DE6AE5" w:rsidRDefault="00675B54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DE6AE5">
        <w:rPr>
          <w:rFonts w:ascii="The Wave Sans TT" w:hAnsi="The Wave Sans TT" w:cs="Arial"/>
          <w:sz w:val="20"/>
          <w:szCs w:val="20"/>
        </w:rPr>
        <w:t xml:space="preserve">Παρά την ανοδική πορεία των </w:t>
      </w:r>
      <w:r w:rsidR="00164976" w:rsidRPr="00DE6AE5">
        <w:rPr>
          <w:rFonts w:ascii="The Wave Sans TT" w:hAnsi="The Wave Sans TT" w:cs="Arial"/>
          <w:sz w:val="20"/>
          <w:szCs w:val="20"/>
        </w:rPr>
        <w:t>διεθν</w:t>
      </w:r>
      <w:r w:rsidR="00D51C37" w:rsidRPr="00DE6AE5">
        <w:rPr>
          <w:rFonts w:ascii="The Wave Sans TT" w:hAnsi="The Wave Sans TT" w:cs="Arial"/>
          <w:sz w:val="20"/>
          <w:szCs w:val="20"/>
        </w:rPr>
        <w:t>ών</w:t>
      </w:r>
      <w:r w:rsidR="00164976" w:rsidRPr="00DE6AE5">
        <w:rPr>
          <w:rFonts w:ascii="The Wave Sans TT" w:hAnsi="The Wave Sans TT" w:cs="Arial"/>
          <w:sz w:val="20"/>
          <w:szCs w:val="20"/>
        </w:rPr>
        <w:t xml:space="preserve"> τιμ</w:t>
      </w:r>
      <w:r w:rsidR="00D51C37" w:rsidRPr="00DE6AE5">
        <w:rPr>
          <w:rFonts w:ascii="The Wave Sans TT" w:hAnsi="The Wave Sans TT" w:cs="Arial"/>
          <w:sz w:val="20"/>
          <w:szCs w:val="20"/>
        </w:rPr>
        <w:t>ών</w:t>
      </w:r>
      <w:r w:rsidR="00164976" w:rsidRPr="00DE6AE5">
        <w:rPr>
          <w:rFonts w:ascii="The Wave Sans TT" w:hAnsi="The Wave Sans TT" w:cs="Arial"/>
          <w:sz w:val="20"/>
          <w:szCs w:val="20"/>
        </w:rPr>
        <w:t xml:space="preserve"> αργού πετρελαίου</w:t>
      </w:r>
      <w:r w:rsidRPr="00DE6AE5">
        <w:rPr>
          <w:rFonts w:ascii="The Wave Sans TT" w:hAnsi="The Wave Sans TT" w:cs="Arial"/>
          <w:sz w:val="20"/>
          <w:szCs w:val="20"/>
        </w:rPr>
        <w:t xml:space="preserve"> στο Β’ Εξάμηνο 2023, κυρίως λόγω της μείωσης παραγωγής από </w:t>
      </w:r>
      <w:r w:rsidR="00E13F2C">
        <w:rPr>
          <w:rFonts w:ascii="The Wave Sans TT" w:hAnsi="The Wave Sans TT" w:cs="Arial"/>
          <w:sz w:val="20"/>
          <w:szCs w:val="20"/>
        </w:rPr>
        <w:t>τις χώρες-μέλη του</w:t>
      </w:r>
      <w:r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994713" w:rsidRPr="00DE6AE5">
        <w:rPr>
          <w:rFonts w:ascii="The Wave Sans TT" w:hAnsi="The Wave Sans TT" w:cs="Arial"/>
          <w:sz w:val="20"/>
          <w:szCs w:val="20"/>
        </w:rPr>
        <w:t>ΟΠΕΚ+</w:t>
      </w:r>
      <w:r w:rsidRPr="00DE6AE5">
        <w:rPr>
          <w:rFonts w:ascii="The Wave Sans TT" w:hAnsi="The Wave Sans TT" w:cs="Arial"/>
          <w:sz w:val="20"/>
          <w:szCs w:val="20"/>
        </w:rPr>
        <w:t>, οι τιμές για το σύνολο του 2023 διαμορφώθηκαν σε χαμηλότερα επίπεδα σε σχέση με τις ιδιαίτερα υψηλές μέσες τιμές του 2022. Συγκεκριμένα</w:t>
      </w:r>
      <w:r w:rsidR="00DE6AE5" w:rsidRPr="00DE6AE5">
        <w:rPr>
          <w:rFonts w:ascii="The Wave Sans TT" w:hAnsi="The Wave Sans TT" w:cs="Arial"/>
          <w:sz w:val="20"/>
          <w:szCs w:val="20"/>
        </w:rPr>
        <w:t>,</w:t>
      </w:r>
      <w:r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994713" w:rsidRPr="00DE6AE5">
        <w:rPr>
          <w:rFonts w:ascii="The Wave Sans TT" w:hAnsi="The Wave Sans TT" w:cs="Arial"/>
          <w:sz w:val="20"/>
          <w:szCs w:val="20"/>
        </w:rPr>
        <w:t xml:space="preserve">το </w:t>
      </w:r>
      <w:r w:rsidR="00164976" w:rsidRPr="00DE6AE5">
        <w:rPr>
          <w:rFonts w:ascii="The Wave Sans TT" w:hAnsi="The Wave Sans TT" w:cs="Arial"/>
          <w:sz w:val="20"/>
          <w:szCs w:val="20"/>
        </w:rPr>
        <w:t xml:space="preserve">πετρέλαιο τύπου </w:t>
      </w:r>
      <w:r w:rsidR="00164976" w:rsidRPr="00DE6AE5">
        <w:rPr>
          <w:rFonts w:ascii="The Wave Sans TT" w:hAnsi="The Wave Sans TT" w:cs="Arial"/>
          <w:sz w:val="20"/>
          <w:szCs w:val="20"/>
          <w:lang w:val="en-US"/>
        </w:rPr>
        <w:t>Brent</w:t>
      </w:r>
      <w:r w:rsidR="00164976"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994713" w:rsidRPr="00DE6AE5">
        <w:rPr>
          <w:rFonts w:ascii="The Wave Sans TT" w:hAnsi="The Wave Sans TT" w:cs="Arial"/>
          <w:sz w:val="20"/>
          <w:szCs w:val="20"/>
        </w:rPr>
        <w:t xml:space="preserve">διαμορφώθηκε </w:t>
      </w:r>
      <w:r w:rsidR="00164976" w:rsidRPr="00DE6AE5">
        <w:rPr>
          <w:rFonts w:ascii="The Wave Sans TT" w:hAnsi="The Wave Sans TT" w:cs="Arial"/>
          <w:sz w:val="20"/>
          <w:szCs w:val="20"/>
        </w:rPr>
        <w:t>κατά μέσο όρο στα $</w:t>
      </w:r>
      <w:r w:rsidR="001607EE" w:rsidRPr="00DE6AE5">
        <w:rPr>
          <w:rFonts w:ascii="The Wave Sans TT" w:hAnsi="The Wave Sans TT" w:cs="Arial"/>
          <w:sz w:val="20"/>
          <w:szCs w:val="20"/>
        </w:rPr>
        <w:t>8</w:t>
      </w:r>
      <w:r w:rsidRPr="00DE6AE5">
        <w:rPr>
          <w:rFonts w:ascii="The Wave Sans TT" w:hAnsi="The Wave Sans TT" w:cs="Arial"/>
          <w:sz w:val="20"/>
          <w:szCs w:val="20"/>
        </w:rPr>
        <w:t>3</w:t>
      </w:r>
      <w:r w:rsidR="00164976" w:rsidRPr="00DE6AE5">
        <w:rPr>
          <w:rFonts w:ascii="The Wave Sans TT" w:hAnsi="The Wave Sans TT" w:cs="Arial"/>
          <w:sz w:val="20"/>
          <w:szCs w:val="20"/>
        </w:rPr>
        <w:t>/βαρέλι</w:t>
      </w:r>
      <w:r w:rsidR="00B36150" w:rsidRPr="00DE6AE5">
        <w:rPr>
          <w:rFonts w:ascii="The Wave Sans TT" w:hAnsi="The Wave Sans TT" w:cs="Arial"/>
          <w:sz w:val="20"/>
          <w:szCs w:val="20"/>
        </w:rPr>
        <w:t>,</w:t>
      </w:r>
      <w:r w:rsidR="003526EC" w:rsidRPr="00DE6AE5">
        <w:rPr>
          <w:rFonts w:ascii="The Wave Sans TT" w:hAnsi="The Wave Sans TT" w:cs="Arial"/>
          <w:sz w:val="20"/>
          <w:szCs w:val="20"/>
        </w:rPr>
        <w:t xml:space="preserve"> </w:t>
      </w:r>
      <w:r w:rsidRPr="00DE6AE5">
        <w:rPr>
          <w:rFonts w:ascii="The Wave Sans TT" w:hAnsi="The Wave Sans TT" w:cs="Arial"/>
          <w:sz w:val="20"/>
          <w:szCs w:val="20"/>
        </w:rPr>
        <w:t>χαμηλότερα κατά 18%</w:t>
      </w:r>
      <w:r w:rsidR="00B3621D" w:rsidRPr="00DE6AE5">
        <w:rPr>
          <w:rFonts w:ascii="The Wave Sans TT" w:hAnsi="The Wave Sans TT" w:cs="Arial"/>
          <w:sz w:val="20"/>
          <w:szCs w:val="20"/>
        </w:rPr>
        <w:t>.</w:t>
      </w:r>
      <w:r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DE6AE5" w:rsidRPr="00DE6AE5">
        <w:rPr>
          <w:rFonts w:ascii="The Wave Sans TT" w:hAnsi="The Wave Sans TT" w:cs="Arial"/>
          <w:sz w:val="20"/>
          <w:szCs w:val="20"/>
        </w:rPr>
        <w:t xml:space="preserve">Στο Δ’ Τρίμηνο 2023 η μέση τιμή διαμορφώθηκε στα $84/βαρέλι, </w:t>
      </w:r>
      <w:r w:rsidR="00B37E89">
        <w:rPr>
          <w:rFonts w:ascii="The Wave Sans TT" w:hAnsi="The Wave Sans TT" w:cs="Arial"/>
          <w:sz w:val="20"/>
          <w:szCs w:val="20"/>
        </w:rPr>
        <w:t xml:space="preserve">μειωμένη κατά </w:t>
      </w:r>
      <w:r w:rsidR="009268B2">
        <w:rPr>
          <w:rFonts w:ascii="The Wave Sans TT" w:hAnsi="The Wave Sans TT" w:cs="Arial"/>
          <w:sz w:val="20"/>
          <w:szCs w:val="20"/>
        </w:rPr>
        <w:t>5</w:t>
      </w:r>
      <w:r w:rsidR="00DE6AE5" w:rsidRPr="00DE6AE5">
        <w:rPr>
          <w:rFonts w:ascii="The Wave Sans TT" w:hAnsi="The Wave Sans TT" w:cs="Arial"/>
          <w:sz w:val="20"/>
          <w:szCs w:val="20"/>
        </w:rPr>
        <w:t>% σε ετήσια βάση.</w:t>
      </w:r>
      <w:r w:rsidR="00164976" w:rsidRPr="00DE6AE5">
        <w:rPr>
          <w:rFonts w:ascii="The Wave Sans TT" w:hAnsi="The Wave Sans TT" w:cs="Arial"/>
          <w:sz w:val="20"/>
          <w:szCs w:val="20"/>
        </w:rPr>
        <w:t xml:space="preserve"> </w:t>
      </w:r>
    </w:p>
    <w:p w14:paraId="104DF407" w14:textId="1F6117F9" w:rsidR="00DE6203" w:rsidRPr="00DE6AE5" w:rsidRDefault="00DE6203" w:rsidP="00DE6203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DE6AE5">
        <w:rPr>
          <w:rFonts w:ascii="The Wave Sans TT" w:hAnsi="The Wave Sans TT" w:cs="Arial"/>
          <w:sz w:val="20"/>
          <w:szCs w:val="20"/>
        </w:rPr>
        <w:t xml:space="preserve">Το Ευρώ ενισχύθηκε έναντι του </w:t>
      </w:r>
      <w:r w:rsidR="00ED0EB4">
        <w:rPr>
          <w:rFonts w:ascii="The Wave Sans TT" w:hAnsi="The Wave Sans TT" w:cs="Arial"/>
          <w:sz w:val="20"/>
          <w:szCs w:val="20"/>
        </w:rPr>
        <w:t>Δ</w:t>
      </w:r>
      <w:r w:rsidRPr="00DE6AE5">
        <w:rPr>
          <w:rFonts w:ascii="The Wave Sans TT" w:hAnsi="The Wave Sans TT" w:cs="Arial"/>
          <w:sz w:val="20"/>
          <w:szCs w:val="20"/>
        </w:rPr>
        <w:t xml:space="preserve">ολαρίου κατά </w:t>
      </w:r>
      <w:r w:rsidR="00DE6AE5" w:rsidRPr="00DE6AE5">
        <w:rPr>
          <w:rFonts w:ascii="The Wave Sans TT" w:hAnsi="The Wave Sans TT" w:cs="Arial"/>
          <w:sz w:val="20"/>
          <w:szCs w:val="20"/>
        </w:rPr>
        <w:t>3</w:t>
      </w:r>
      <w:r w:rsidRPr="00DE6AE5">
        <w:rPr>
          <w:rFonts w:ascii="The Wave Sans TT" w:hAnsi="The Wave Sans TT" w:cs="Arial"/>
          <w:sz w:val="20"/>
          <w:szCs w:val="20"/>
        </w:rPr>
        <w:t>%, με την ισοτιμία να διαμορφώνεται κατά μέσο όρο στα 1,0</w:t>
      </w:r>
      <w:r w:rsidR="00DE6AE5" w:rsidRPr="00DE6AE5">
        <w:rPr>
          <w:rFonts w:ascii="The Wave Sans TT" w:hAnsi="The Wave Sans TT" w:cs="Arial"/>
          <w:sz w:val="20"/>
          <w:szCs w:val="20"/>
        </w:rPr>
        <w:t>8</w:t>
      </w:r>
      <w:r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DE6AE5" w:rsidRPr="00DE6AE5">
        <w:rPr>
          <w:rFonts w:ascii="The Wave Sans TT" w:hAnsi="The Wave Sans TT" w:cs="Arial"/>
          <w:sz w:val="20"/>
          <w:szCs w:val="20"/>
        </w:rPr>
        <w:t>στο 20</w:t>
      </w:r>
      <w:r w:rsidRPr="00DE6AE5">
        <w:rPr>
          <w:rFonts w:ascii="The Wave Sans TT" w:hAnsi="The Wave Sans TT" w:cs="Arial"/>
          <w:sz w:val="20"/>
          <w:szCs w:val="20"/>
        </w:rPr>
        <w:t>23, έναντι 1,0</w:t>
      </w:r>
      <w:r w:rsidR="00DE6AE5" w:rsidRPr="00DE6AE5">
        <w:rPr>
          <w:rFonts w:ascii="The Wave Sans TT" w:hAnsi="The Wave Sans TT" w:cs="Arial"/>
          <w:sz w:val="20"/>
          <w:szCs w:val="20"/>
        </w:rPr>
        <w:t>5</w:t>
      </w:r>
      <w:r w:rsidRPr="00DE6AE5">
        <w:rPr>
          <w:rFonts w:ascii="The Wave Sans TT" w:hAnsi="The Wave Sans TT" w:cs="Arial"/>
          <w:sz w:val="20"/>
          <w:szCs w:val="20"/>
        </w:rPr>
        <w:t xml:space="preserve"> το 2022</w:t>
      </w:r>
      <w:r w:rsidR="00536E8D" w:rsidRPr="00DE6AE5">
        <w:rPr>
          <w:rFonts w:ascii="The Wave Sans TT" w:hAnsi="The Wave Sans TT" w:cs="Arial"/>
          <w:sz w:val="20"/>
          <w:szCs w:val="20"/>
        </w:rPr>
        <w:t xml:space="preserve">. </w:t>
      </w:r>
    </w:p>
    <w:p w14:paraId="199769B7" w14:textId="4084B126" w:rsidR="00164976" w:rsidRPr="00870A51" w:rsidRDefault="00164976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DE6AE5">
        <w:rPr>
          <w:rFonts w:ascii="The Wave Sans TT" w:hAnsi="The Wave Sans TT" w:cs="Arial"/>
          <w:sz w:val="20"/>
          <w:szCs w:val="20"/>
        </w:rPr>
        <w:t>Τα περιθώρια διύλισης το 2023</w:t>
      </w:r>
      <w:r w:rsidR="001607EE" w:rsidRPr="00DE6AE5">
        <w:rPr>
          <w:rFonts w:ascii="The Wave Sans TT" w:hAnsi="The Wave Sans TT" w:cs="Arial"/>
          <w:sz w:val="20"/>
          <w:szCs w:val="20"/>
        </w:rPr>
        <w:t xml:space="preserve"> </w:t>
      </w:r>
      <w:r w:rsidR="00DE6AE5" w:rsidRPr="00DE6AE5">
        <w:rPr>
          <w:rFonts w:ascii="The Wave Sans TT" w:hAnsi="The Wave Sans TT" w:cs="Arial"/>
          <w:sz w:val="20"/>
          <w:szCs w:val="20"/>
        </w:rPr>
        <w:t>υποχώρησαν σε σχέση με τα ιστορικά υψηλά του προηγούμενου έτους, παρέμειναν, ωστόσο, σε υψηλότερα επίπεδα συγκριτικά με τον πιο πρόσφατο (προ πανδημίας) πενταετή κύκλο (2015-2019)</w:t>
      </w:r>
      <w:r w:rsidR="002F2920">
        <w:rPr>
          <w:rFonts w:ascii="The Wave Sans TT" w:hAnsi="The Wave Sans TT" w:cs="Arial"/>
          <w:sz w:val="20"/>
          <w:szCs w:val="20"/>
        </w:rPr>
        <w:t>. Υποστηρίχθηκαν</w:t>
      </w:r>
      <w:r w:rsidR="0091575A">
        <w:rPr>
          <w:rFonts w:ascii="The Wave Sans TT" w:hAnsi="The Wave Sans TT" w:cs="Arial"/>
          <w:sz w:val="20"/>
          <w:szCs w:val="20"/>
        </w:rPr>
        <w:t xml:space="preserve"> κατά κύριο λόγο από τ</w:t>
      </w:r>
      <w:r w:rsidR="0063204B">
        <w:rPr>
          <w:rFonts w:ascii="The Wave Sans TT" w:hAnsi="The Wave Sans TT" w:cs="Arial"/>
          <w:sz w:val="20"/>
          <w:szCs w:val="20"/>
        </w:rPr>
        <w:t>ην ισχυρή ζήτηση</w:t>
      </w:r>
      <w:r w:rsidR="0091575A">
        <w:rPr>
          <w:rFonts w:ascii="The Wave Sans TT" w:hAnsi="The Wave Sans TT" w:cs="Arial"/>
          <w:sz w:val="20"/>
          <w:szCs w:val="20"/>
        </w:rPr>
        <w:t xml:space="preserve"> </w:t>
      </w:r>
      <w:r w:rsidR="0063204B">
        <w:rPr>
          <w:rFonts w:ascii="The Wave Sans TT" w:hAnsi="The Wave Sans TT" w:cs="Arial"/>
          <w:sz w:val="20"/>
          <w:szCs w:val="20"/>
        </w:rPr>
        <w:t xml:space="preserve">στα βασικά προϊόντα, σε συνδυασμό με τις κυρώσεις που </w:t>
      </w:r>
      <w:r w:rsidR="0063204B">
        <w:rPr>
          <w:rFonts w:ascii="The Wave Sans TT" w:hAnsi="The Wave Sans TT" w:cs="Arial"/>
          <w:sz w:val="20"/>
          <w:szCs w:val="20"/>
        </w:rPr>
        <w:lastRenderedPageBreak/>
        <w:t xml:space="preserve">επιβλήθηκαν στη Ρωσία, καθώς και τις γεωπολιτικές εντάσεις στη Μ. Ανατολή κατά το Δ’ Τρίμηνο 2023, που επηρέασαν την </w:t>
      </w:r>
      <w:r w:rsidR="000447FE">
        <w:rPr>
          <w:rFonts w:ascii="The Wave Sans TT" w:hAnsi="The Wave Sans TT" w:cs="Arial"/>
          <w:sz w:val="20"/>
          <w:szCs w:val="20"/>
        </w:rPr>
        <w:t>προσφορά προϊόντων και</w:t>
      </w:r>
      <w:r w:rsidR="0063204B">
        <w:rPr>
          <w:rFonts w:ascii="The Wave Sans TT" w:hAnsi="The Wave Sans TT" w:cs="Arial"/>
          <w:sz w:val="20"/>
          <w:szCs w:val="20"/>
        </w:rPr>
        <w:t xml:space="preserve"> οδήγησαν</w:t>
      </w:r>
      <w:r w:rsidR="000447FE">
        <w:rPr>
          <w:rFonts w:ascii="The Wave Sans TT" w:hAnsi="The Wave Sans TT" w:cs="Arial"/>
          <w:sz w:val="20"/>
          <w:szCs w:val="20"/>
        </w:rPr>
        <w:t xml:space="preserve"> στην αναδιάταξη των εμπορικών ροών</w:t>
      </w:r>
      <w:r w:rsidR="00870A51">
        <w:rPr>
          <w:rFonts w:ascii="The Wave Sans TT" w:hAnsi="The Wave Sans TT" w:cs="Arial"/>
          <w:sz w:val="20"/>
          <w:szCs w:val="20"/>
        </w:rPr>
        <w:t>.</w:t>
      </w:r>
      <w:r w:rsidR="00DE6AE5">
        <w:rPr>
          <w:rFonts w:ascii="The Wave Sans TT" w:hAnsi="The Wave Sans TT" w:cs="Arial"/>
          <w:sz w:val="20"/>
          <w:szCs w:val="20"/>
        </w:rPr>
        <w:t xml:space="preserve"> </w:t>
      </w:r>
      <w:r w:rsidR="006F6933" w:rsidRPr="00870A51">
        <w:rPr>
          <w:rFonts w:ascii="The Wave Sans TT" w:hAnsi="The Wave Sans TT" w:cs="Arial"/>
          <w:sz w:val="20"/>
          <w:szCs w:val="20"/>
        </w:rPr>
        <w:t>Τ</w:t>
      </w:r>
      <w:r w:rsidR="003B1116" w:rsidRPr="00870A51">
        <w:rPr>
          <w:rFonts w:ascii="The Wave Sans TT" w:hAnsi="The Wave Sans TT" w:cs="Arial"/>
          <w:sz w:val="20"/>
          <w:szCs w:val="20"/>
        </w:rPr>
        <w:t>ο</w:t>
      </w:r>
      <w:r w:rsidR="006F6933" w:rsidRPr="00870A51">
        <w:rPr>
          <w:rFonts w:ascii="The Wave Sans TT" w:hAnsi="The Wave Sans TT" w:cs="Arial"/>
          <w:sz w:val="20"/>
          <w:szCs w:val="20"/>
        </w:rPr>
        <w:t xml:space="preserve"> διεθν</w:t>
      </w:r>
      <w:r w:rsidR="00E14493" w:rsidRPr="00870A51">
        <w:rPr>
          <w:rFonts w:ascii="The Wave Sans TT" w:hAnsi="The Wave Sans TT" w:cs="Arial"/>
          <w:sz w:val="20"/>
          <w:szCs w:val="20"/>
        </w:rPr>
        <w:t>ές</w:t>
      </w:r>
      <w:r w:rsidR="006F6933" w:rsidRPr="00870A51">
        <w:rPr>
          <w:rFonts w:ascii="The Wave Sans TT" w:hAnsi="The Wave Sans TT" w:cs="Arial"/>
          <w:sz w:val="20"/>
          <w:szCs w:val="20"/>
        </w:rPr>
        <w:t xml:space="preserve"> </w:t>
      </w:r>
      <w:r w:rsidRPr="00870A51">
        <w:rPr>
          <w:rFonts w:ascii="The Wave Sans TT" w:hAnsi="The Wave Sans TT" w:cs="Arial"/>
          <w:sz w:val="20"/>
          <w:szCs w:val="20"/>
        </w:rPr>
        <w:t>περιθώρι</w:t>
      </w:r>
      <w:r w:rsidR="003B1116" w:rsidRPr="00870A51">
        <w:rPr>
          <w:rFonts w:ascii="The Wave Sans TT" w:hAnsi="The Wave Sans TT" w:cs="Arial"/>
          <w:sz w:val="20"/>
          <w:szCs w:val="20"/>
        </w:rPr>
        <w:t>ο</w:t>
      </w:r>
      <w:r w:rsidRPr="00870A51">
        <w:rPr>
          <w:rFonts w:ascii="The Wave Sans TT" w:hAnsi="The Wave Sans TT" w:cs="Arial"/>
          <w:sz w:val="20"/>
          <w:szCs w:val="20"/>
        </w:rPr>
        <w:t xml:space="preserve"> αναφοράς</w:t>
      </w:r>
      <w:r w:rsidR="00E14493" w:rsidRPr="00870A51">
        <w:rPr>
          <w:rFonts w:ascii="The Wave Sans TT" w:hAnsi="The Wave Sans TT" w:cs="Arial"/>
          <w:sz w:val="20"/>
          <w:szCs w:val="20"/>
        </w:rPr>
        <w:t xml:space="preserve"> συστήματος των διυλιστηρίων μας</w:t>
      </w:r>
      <w:r w:rsidRPr="00870A51">
        <w:rPr>
          <w:rFonts w:ascii="The Wave Sans TT" w:hAnsi="The Wave Sans TT" w:cs="Arial"/>
          <w:sz w:val="20"/>
          <w:szCs w:val="20"/>
        </w:rPr>
        <w:t xml:space="preserve"> διαμορφώθηκ</w:t>
      </w:r>
      <w:r w:rsidR="00E14493" w:rsidRPr="00870A51">
        <w:rPr>
          <w:rFonts w:ascii="The Wave Sans TT" w:hAnsi="The Wave Sans TT" w:cs="Arial"/>
          <w:sz w:val="20"/>
          <w:szCs w:val="20"/>
        </w:rPr>
        <w:t>ε</w:t>
      </w:r>
      <w:r w:rsidRPr="00870A51">
        <w:rPr>
          <w:rFonts w:ascii="The Wave Sans TT" w:hAnsi="The Wave Sans TT" w:cs="Arial"/>
          <w:sz w:val="20"/>
          <w:szCs w:val="20"/>
        </w:rPr>
        <w:t xml:space="preserve"> το 2023 </w:t>
      </w:r>
      <w:r w:rsidR="002F2920">
        <w:rPr>
          <w:rFonts w:ascii="The Wave Sans TT" w:hAnsi="The Wave Sans TT" w:cs="Arial"/>
          <w:sz w:val="20"/>
          <w:szCs w:val="20"/>
        </w:rPr>
        <w:t xml:space="preserve">κατά μέσο όρο </w:t>
      </w:r>
      <w:r w:rsidRPr="00870A51">
        <w:rPr>
          <w:rFonts w:ascii="The Wave Sans TT" w:hAnsi="The Wave Sans TT" w:cs="Arial"/>
          <w:sz w:val="20"/>
          <w:szCs w:val="20"/>
        </w:rPr>
        <w:t>στα $</w:t>
      </w:r>
      <w:r w:rsidR="00870A51" w:rsidRPr="00870A51">
        <w:rPr>
          <w:rFonts w:ascii="The Wave Sans TT" w:hAnsi="The Wave Sans TT" w:cs="Arial"/>
          <w:sz w:val="20"/>
          <w:szCs w:val="20"/>
        </w:rPr>
        <w:t>9,8</w:t>
      </w:r>
      <w:r w:rsidRPr="00870A51">
        <w:rPr>
          <w:rFonts w:ascii="The Wave Sans TT" w:hAnsi="The Wave Sans TT" w:cs="Arial"/>
          <w:sz w:val="20"/>
          <w:szCs w:val="20"/>
        </w:rPr>
        <w:t xml:space="preserve">/βαρέλι, </w:t>
      </w:r>
      <w:r w:rsidR="002A6BFF" w:rsidRPr="00870A51">
        <w:rPr>
          <w:rFonts w:ascii="The Wave Sans TT" w:hAnsi="The Wave Sans TT" w:cs="Arial"/>
          <w:sz w:val="20"/>
          <w:szCs w:val="20"/>
        </w:rPr>
        <w:t>έναντι</w:t>
      </w:r>
      <w:r w:rsidRPr="00870A51">
        <w:rPr>
          <w:rFonts w:ascii="The Wave Sans TT" w:hAnsi="The Wave Sans TT" w:cs="Arial"/>
          <w:sz w:val="20"/>
          <w:szCs w:val="20"/>
        </w:rPr>
        <w:t xml:space="preserve"> $</w:t>
      </w:r>
      <w:r w:rsidR="00870A51" w:rsidRPr="00870A51">
        <w:rPr>
          <w:rFonts w:ascii="The Wave Sans TT" w:hAnsi="The Wave Sans TT" w:cs="Arial"/>
          <w:sz w:val="20"/>
          <w:szCs w:val="20"/>
        </w:rPr>
        <w:t>11,8</w:t>
      </w:r>
      <w:r w:rsidRPr="00870A51">
        <w:rPr>
          <w:rFonts w:ascii="The Wave Sans TT" w:hAnsi="The Wave Sans TT" w:cs="Arial"/>
          <w:sz w:val="20"/>
          <w:szCs w:val="20"/>
        </w:rPr>
        <w:t>/βαρέλι το 2022</w:t>
      </w:r>
      <w:r w:rsidR="00870A51">
        <w:rPr>
          <w:rFonts w:ascii="The Wave Sans TT" w:hAnsi="The Wave Sans TT" w:cs="Arial"/>
          <w:sz w:val="20"/>
          <w:szCs w:val="20"/>
        </w:rPr>
        <w:t xml:space="preserve">, </w:t>
      </w:r>
      <w:r w:rsidR="00ED0EB4">
        <w:rPr>
          <w:rFonts w:ascii="The Wave Sans TT" w:hAnsi="The Wave Sans TT" w:cs="Arial"/>
          <w:sz w:val="20"/>
          <w:szCs w:val="20"/>
        </w:rPr>
        <w:t>ενώ</w:t>
      </w:r>
      <w:r w:rsidR="002F2920">
        <w:rPr>
          <w:rFonts w:ascii="The Wave Sans TT" w:hAnsi="The Wave Sans TT" w:cs="Arial"/>
          <w:sz w:val="20"/>
          <w:szCs w:val="20"/>
        </w:rPr>
        <w:t xml:space="preserve"> ειδικότερα</w:t>
      </w:r>
      <w:r w:rsidR="00870A51">
        <w:rPr>
          <w:rFonts w:ascii="The Wave Sans TT" w:hAnsi="The Wave Sans TT" w:cs="Arial"/>
          <w:sz w:val="20"/>
          <w:szCs w:val="20"/>
        </w:rPr>
        <w:t xml:space="preserve"> για το Δ’ Τρίμηνο 2023 </w:t>
      </w:r>
      <w:r w:rsidR="00ED0EB4">
        <w:rPr>
          <w:rFonts w:ascii="The Wave Sans TT" w:hAnsi="The Wave Sans TT" w:cs="Arial"/>
          <w:sz w:val="20"/>
          <w:szCs w:val="20"/>
        </w:rPr>
        <w:t xml:space="preserve">κυμάνθηκε </w:t>
      </w:r>
      <w:r w:rsidR="00870A51">
        <w:rPr>
          <w:rFonts w:ascii="The Wave Sans TT" w:hAnsi="The Wave Sans TT" w:cs="Arial"/>
          <w:sz w:val="20"/>
          <w:szCs w:val="20"/>
        </w:rPr>
        <w:t xml:space="preserve">στα </w:t>
      </w:r>
      <w:r w:rsidR="00870A51" w:rsidRPr="00870A51">
        <w:rPr>
          <w:rFonts w:ascii="The Wave Sans TT" w:hAnsi="The Wave Sans TT" w:cs="Arial"/>
          <w:sz w:val="20"/>
          <w:szCs w:val="20"/>
        </w:rPr>
        <w:t>$</w:t>
      </w:r>
      <w:r w:rsidR="00870A51">
        <w:rPr>
          <w:rFonts w:ascii="The Wave Sans TT" w:hAnsi="The Wave Sans TT" w:cs="Arial"/>
          <w:sz w:val="20"/>
          <w:szCs w:val="20"/>
        </w:rPr>
        <w:t>8,2</w:t>
      </w:r>
      <w:r w:rsidR="00870A51" w:rsidRPr="00870A51">
        <w:rPr>
          <w:rFonts w:ascii="The Wave Sans TT" w:hAnsi="The Wave Sans TT" w:cs="Arial"/>
          <w:sz w:val="20"/>
          <w:szCs w:val="20"/>
        </w:rPr>
        <w:t>/βαρέλι, έναντι $1</w:t>
      </w:r>
      <w:r w:rsidR="00870A51">
        <w:rPr>
          <w:rFonts w:ascii="The Wave Sans TT" w:hAnsi="The Wave Sans TT" w:cs="Arial"/>
          <w:sz w:val="20"/>
          <w:szCs w:val="20"/>
        </w:rPr>
        <w:t>3,3</w:t>
      </w:r>
      <w:r w:rsidR="00870A51" w:rsidRPr="00870A51">
        <w:rPr>
          <w:rFonts w:ascii="The Wave Sans TT" w:hAnsi="The Wave Sans TT" w:cs="Arial"/>
          <w:sz w:val="20"/>
          <w:szCs w:val="20"/>
        </w:rPr>
        <w:t xml:space="preserve">/βαρέλι </w:t>
      </w:r>
      <w:r w:rsidR="00870A51">
        <w:rPr>
          <w:rFonts w:ascii="The Wave Sans TT" w:hAnsi="The Wave Sans TT" w:cs="Arial"/>
          <w:sz w:val="20"/>
          <w:szCs w:val="20"/>
        </w:rPr>
        <w:t xml:space="preserve">για </w:t>
      </w:r>
      <w:r w:rsidR="00870A51" w:rsidRPr="00870A51">
        <w:rPr>
          <w:rFonts w:ascii="The Wave Sans TT" w:hAnsi="The Wave Sans TT" w:cs="Arial"/>
          <w:sz w:val="20"/>
          <w:szCs w:val="20"/>
        </w:rPr>
        <w:t>τ</w:t>
      </w:r>
      <w:r w:rsidR="00870A51">
        <w:rPr>
          <w:rFonts w:ascii="The Wave Sans TT" w:hAnsi="The Wave Sans TT" w:cs="Arial"/>
          <w:sz w:val="20"/>
          <w:szCs w:val="20"/>
        </w:rPr>
        <w:t xml:space="preserve">ην αντίστοιχη περίοδο του </w:t>
      </w:r>
      <w:r w:rsidR="00870A51" w:rsidRPr="00870A51">
        <w:rPr>
          <w:rFonts w:ascii="The Wave Sans TT" w:hAnsi="The Wave Sans TT" w:cs="Arial"/>
          <w:sz w:val="20"/>
          <w:szCs w:val="20"/>
        </w:rPr>
        <w:t>2022</w:t>
      </w:r>
      <w:r w:rsidR="00870A51">
        <w:rPr>
          <w:rFonts w:ascii="The Wave Sans TT" w:hAnsi="The Wave Sans TT" w:cs="Arial"/>
          <w:sz w:val="20"/>
          <w:szCs w:val="20"/>
        </w:rPr>
        <w:t>.</w:t>
      </w:r>
    </w:p>
    <w:p w14:paraId="60BF5BA8" w14:textId="77777777" w:rsidR="00164976" w:rsidRPr="00675B54" w:rsidRDefault="00164976" w:rsidP="00164976">
      <w:pPr>
        <w:spacing w:after="120"/>
        <w:jc w:val="both"/>
        <w:rPr>
          <w:rFonts w:ascii="The Wave Sans TT" w:hAnsi="The Wave Sans TT" w:cs="Arial"/>
          <w:b/>
          <w:color w:val="FF0000"/>
          <w:sz w:val="20"/>
          <w:szCs w:val="20"/>
          <w:highlight w:val="yellow"/>
        </w:rPr>
      </w:pPr>
    </w:p>
    <w:p w14:paraId="282C357E" w14:textId="77777777" w:rsidR="00164976" w:rsidRPr="00976BEF" w:rsidRDefault="00C93A22" w:rsidP="00164976">
      <w:pPr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  <w:r w:rsidRPr="00976BEF">
        <w:rPr>
          <w:rFonts w:ascii="The Wave Sans TT" w:hAnsi="The Wave Sans TT" w:cs="Arial"/>
          <w:b/>
          <w:sz w:val="20"/>
          <w:szCs w:val="20"/>
        </w:rPr>
        <w:t>Βελτιωμέν</w:t>
      </w:r>
      <w:r w:rsidR="00976BEF" w:rsidRPr="00976BEF">
        <w:rPr>
          <w:rFonts w:ascii="The Wave Sans TT" w:hAnsi="The Wave Sans TT" w:cs="Arial"/>
          <w:b/>
          <w:sz w:val="20"/>
          <w:szCs w:val="20"/>
        </w:rPr>
        <w:t xml:space="preserve">η </w:t>
      </w:r>
      <w:r w:rsidR="00131521" w:rsidRPr="00976BEF">
        <w:rPr>
          <w:rFonts w:ascii="The Wave Sans TT" w:hAnsi="The Wave Sans TT" w:cs="Arial"/>
          <w:b/>
          <w:sz w:val="20"/>
          <w:szCs w:val="20"/>
        </w:rPr>
        <w:t>ζήτηση</w:t>
      </w:r>
      <w:r w:rsidR="00976BEF" w:rsidRPr="00976BEF">
        <w:rPr>
          <w:rFonts w:ascii="The Wave Sans TT" w:hAnsi="The Wave Sans TT" w:cs="Arial"/>
          <w:b/>
          <w:sz w:val="20"/>
          <w:szCs w:val="20"/>
        </w:rPr>
        <w:t xml:space="preserve"> για καύσιμα κίνησης, αεροπορία</w:t>
      </w:r>
      <w:r w:rsidR="00976BEF">
        <w:rPr>
          <w:rFonts w:ascii="The Wave Sans TT" w:hAnsi="The Wave Sans TT" w:cs="Arial"/>
          <w:b/>
          <w:sz w:val="20"/>
          <w:szCs w:val="20"/>
        </w:rPr>
        <w:t>ς</w:t>
      </w:r>
      <w:r w:rsidR="00976BEF" w:rsidRPr="00976BEF">
        <w:rPr>
          <w:rFonts w:ascii="The Wave Sans TT" w:hAnsi="The Wave Sans TT" w:cs="Arial"/>
          <w:b/>
          <w:sz w:val="20"/>
          <w:szCs w:val="20"/>
        </w:rPr>
        <w:t xml:space="preserve"> και ναυτιλία</w:t>
      </w:r>
      <w:r w:rsidR="00976BEF">
        <w:rPr>
          <w:rFonts w:ascii="The Wave Sans TT" w:hAnsi="The Wave Sans TT" w:cs="Arial"/>
          <w:b/>
          <w:sz w:val="20"/>
          <w:szCs w:val="20"/>
        </w:rPr>
        <w:t>ς</w:t>
      </w:r>
    </w:p>
    <w:p w14:paraId="430CE71C" w14:textId="77777777" w:rsidR="00164976" w:rsidRPr="00976BEF" w:rsidRDefault="00325DEC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976BEF">
        <w:rPr>
          <w:rFonts w:ascii="The Wave Sans TT" w:hAnsi="The Wave Sans TT" w:cs="Arial"/>
          <w:sz w:val="20"/>
          <w:szCs w:val="20"/>
        </w:rPr>
        <w:t xml:space="preserve">Η </w:t>
      </w:r>
      <w:r w:rsidR="00164976" w:rsidRPr="00976BEF">
        <w:rPr>
          <w:rFonts w:ascii="The Wave Sans TT" w:hAnsi="The Wave Sans TT" w:cs="Arial"/>
          <w:sz w:val="20"/>
          <w:szCs w:val="20"/>
        </w:rPr>
        <w:t xml:space="preserve">ζήτηση </w:t>
      </w:r>
      <w:r w:rsidRPr="00976BEF">
        <w:rPr>
          <w:rFonts w:ascii="The Wave Sans TT" w:hAnsi="The Wave Sans TT" w:cs="Arial"/>
          <w:sz w:val="20"/>
          <w:szCs w:val="20"/>
        </w:rPr>
        <w:t>στην εσωτερική αγορά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διαμορφώθηκε στ</w:t>
      </w:r>
      <w:r w:rsidR="000F2E9F" w:rsidRPr="00976BEF">
        <w:rPr>
          <w:rFonts w:ascii="The Wave Sans TT" w:hAnsi="The Wave Sans TT" w:cs="Arial"/>
          <w:sz w:val="20"/>
          <w:szCs w:val="20"/>
        </w:rPr>
        <w:t>ους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</w:t>
      </w:r>
      <w:r w:rsidR="00762CC6" w:rsidRPr="00976BEF">
        <w:rPr>
          <w:rFonts w:ascii="The Wave Sans TT" w:hAnsi="The Wave Sans TT" w:cs="Arial"/>
          <w:sz w:val="20"/>
          <w:szCs w:val="20"/>
        </w:rPr>
        <w:t>6,6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εκατ. τόνους</w:t>
      </w:r>
      <w:r w:rsidRPr="00976BEF">
        <w:rPr>
          <w:rFonts w:ascii="The Wave Sans TT" w:hAnsi="The Wave Sans TT" w:cs="Arial"/>
          <w:sz w:val="20"/>
          <w:szCs w:val="20"/>
        </w:rPr>
        <w:t xml:space="preserve"> το 2023</w:t>
      </w:r>
      <w:r w:rsidR="00164976" w:rsidRPr="00976BEF">
        <w:rPr>
          <w:rFonts w:ascii="The Wave Sans TT" w:hAnsi="The Wave Sans TT" w:cs="Arial"/>
          <w:sz w:val="20"/>
          <w:szCs w:val="20"/>
        </w:rPr>
        <w:t xml:space="preserve">, </w:t>
      </w:r>
      <w:r w:rsidR="00FE643C" w:rsidRPr="00976BEF">
        <w:rPr>
          <w:rFonts w:ascii="The Wave Sans TT" w:hAnsi="The Wave Sans TT" w:cs="Arial"/>
          <w:sz w:val="20"/>
          <w:szCs w:val="20"/>
        </w:rPr>
        <w:t xml:space="preserve">μειωμένη κατά 3% λόγω πτώσης στη ζήτηση πετρελαίου θέρμανσης. Εξαιρουμένου του πετρελαίου θέρμανσης, η ζήτηση αυξήθηκε κατά 4%, με την </w:t>
      </w:r>
      <w:r w:rsidRPr="00976BEF">
        <w:rPr>
          <w:rFonts w:ascii="The Wave Sans TT" w:hAnsi="The Wave Sans TT" w:cs="Arial"/>
          <w:sz w:val="20"/>
          <w:szCs w:val="20"/>
        </w:rPr>
        <w:t xml:space="preserve">κατανάλωση </w:t>
      </w:r>
      <w:r w:rsidR="002A6BFF" w:rsidRPr="00976BEF">
        <w:rPr>
          <w:rFonts w:ascii="The Wave Sans TT" w:hAnsi="The Wave Sans TT" w:cs="Arial"/>
          <w:sz w:val="20"/>
          <w:szCs w:val="20"/>
        </w:rPr>
        <w:t>βενζίνης και ντίζελ</w:t>
      </w:r>
      <w:r w:rsidRPr="00976BEF">
        <w:rPr>
          <w:rFonts w:ascii="The Wave Sans TT" w:hAnsi="The Wave Sans TT" w:cs="Arial"/>
          <w:sz w:val="20"/>
          <w:szCs w:val="20"/>
        </w:rPr>
        <w:t xml:space="preserve"> </w:t>
      </w:r>
      <w:r w:rsidR="009C2605" w:rsidRPr="00976BEF">
        <w:rPr>
          <w:rFonts w:ascii="The Wave Sans TT" w:hAnsi="The Wave Sans TT" w:cs="Arial"/>
          <w:sz w:val="20"/>
          <w:szCs w:val="20"/>
        </w:rPr>
        <w:t>να βελτιώνεται κατά 3%</w:t>
      </w:r>
      <w:r w:rsidR="00976BEF" w:rsidRPr="00976BEF">
        <w:rPr>
          <w:rFonts w:ascii="The Wave Sans TT" w:hAnsi="The Wave Sans TT" w:cs="Arial"/>
          <w:sz w:val="20"/>
          <w:szCs w:val="20"/>
        </w:rPr>
        <w:t xml:space="preserve"> στους 4,91 εκατ. τόνους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. </w:t>
      </w:r>
      <w:r w:rsidR="002E05C7" w:rsidRPr="00976BEF">
        <w:rPr>
          <w:rFonts w:ascii="The Wave Sans TT" w:hAnsi="The Wave Sans TT" w:cs="Arial"/>
          <w:sz w:val="20"/>
          <w:szCs w:val="20"/>
        </w:rPr>
        <w:t>Η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</w:t>
      </w:r>
      <w:r w:rsidR="002A6BFF" w:rsidRPr="00976BEF">
        <w:rPr>
          <w:rFonts w:ascii="The Wave Sans TT" w:hAnsi="The Wave Sans TT" w:cs="Arial"/>
          <w:sz w:val="20"/>
          <w:szCs w:val="20"/>
        </w:rPr>
        <w:t xml:space="preserve">ζήτηση </w:t>
      </w:r>
      <w:r w:rsidRPr="00976BEF">
        <w:rPr>
          <w:rFonts w:ascii="The Wave Sans TT" w:hAnsi="The Wave Sans TT" w:cs="Arial"/>
          <w:sz w:val="20"/>
          <w:szCs w:val="20"/>
        </w:rPr>
        <w:t xml:space="preserve">αεροπορικών </w:t>
      </w:r>
      <w:r w:rsidR="009C2605" w:rsidRPr="00976BEF">
        <w:rPr>
          <w:rFonts w:ascii="The Wave Sans TT" w:hAnsi="The Wave Sans TT" w:cs="Arial"/>
          <w:sz w:val="20"/>
          <w:szCs w:val="20"/>
        </w:rPr>
        <w:t xml:space="preserve">και </w:t>
      </w:r>
      <w:r w:rsidR="00976BEF" w:rsidRPr="00976BEF">
        <w:rPr>
          <w:rFonts w:ascii="The Wave Sans TT" w:hAnsi="The Wave Sans TT" w:cs="Arial"/>
          <w:sz w:val="20"/>
          <w:szCs w:val="20"/>
        </w:rPr>
        <w:t>ναυτιλιακών</w:t>
      </w:r>
      <w:r w:rsidR="009C2605" w:rsidRPr="00976BEF">
        <w:rPr>
          <w:rFonts w:ascii="The Wave Sans TT" w:hAnsi="The Wave Sans TT" w:cs="Arial"/>
          <w:sz w:val="20"/>
          <w:szCs w:val="20"/>
        </w:rPr>
        <w:t xml:space="preserve"> </w:t>
      </w:r>
      <w:r w:rsidRPr="00976BEF">
        <w:rPr>
          <w:rFonts w:ascii="The Wave Sans TT" w:hAnsi="The Wave Sans TT" w:cs="Arial"/>
          <w:sz w:val="20"/>
          <w:szCs w:val="20"/>
        </w:rPr>
        <w:t>καυσίμων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</w:t>
      </w:r>
      <w:r w:rsidR="002E05C7" w:rsidRPr="00976BEF">
        <w:rPr>
          <w:rFonts w:ascii="The Wave Sans TT" w:hAnsi="The Wave Sans TT" w:cs="Arial"/>
          <w:sz w:val="20"/>
          <w:szCs w:val="20"/>
        </w:rPr>
        <w:t xml:space="preserve">ανήλθε </w:t>
      </w:r>
      <w:r w:rsidR="00C93A22" w:rsidRPr="00976BEF">
        <w:rPr>
          <w:rFonts w:ascii="The Wave Sans TT" w:hAnsi="The Wave Sans TT" w:cs="Arial"/>
          <w:sz w:val="20"/>
          <w:szCs w:val="20"/>
        </w:rPr>
        <w:t>σ</w:t>
      </w:r>
      <w:r w:rsidR="009268B2">
        <w:rPr>
          <w:rFonts w:ascii="The Wave Sans TT" w:hAnsi="The Wave Sans TT" w:cs="Arial"/>
          <w:sz w:val="20"/>
          <w:szCs w:val="20"/>
        </w:rPr>
        <w:t>ε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</w:t>
      </w:r>
      <w:r w:rsidR="009C2605" w:rsidRPr="00976BEF">
        <w:rPr>
          <w:rFonts w:ascii="The Wave Sans TT" w:hAnsi="The Wave Sans TT" w:cs="Arial"/>
          <w:sz w:val="20"/>
          <w:szCs w:val="20"/>
        </w:rPr>
        <w:t>1</w:t>
      </w:r>
      <w:r w:rsidR="00976BEF" w:rsidRPr="00976BEF">
        <w:rPr>
          <w:rFonts w:ascii="The Wave Sans TT" w:hAnsi="The Wave Sans TT" w:cs="Arial"/>
          <w:sz w:val="20"/>
          <w:szCs w:val="20"/>
        </w:rPr>
        <w:t>,45 εκατ.</w:t>
      </w:r>
      <w:r w:rsidR="00C93A22" w:rsidRPr="00976BEF">
        <w:rPr>
          <w:rFonts w:ascii="The Wave Sans TT" w:hAnsi="The Wave Sans TT" w:cs="Arial"/>
          <w:sz w:val="20"/>
          <w:szCs w:val="20"/>
        </w:rPr>
        <w:t xml:space="preserve"> τόνους (</w:t>
      </w:r>
      <w:r w:rsidR="009C2605" w:rsidRPr="00976BEF">
        <w:rPr>
          <w:rFonts w:ascii="The Wave Sans TT" w:hAnsi="The Wave Sans TT" w:cs="Arial"/>
          <w:sz w:val="20"/>
          <w:szCs w:val="20"/>
        </w:rPr>
        <w:t>+7%) και 2</w:t>
      </w:r>
      <w:r w:rsidR="00976BEF" w:rsidRPr="00976BEF">
        <w:rPr>
          <w:rFonts w:ascii="The Wave Sans TT" w:hAnsi="The Wave Sans TT" w:cs="Arial"/>
          <w:sz w:val="20"/>
          <w:szCs w:val="20"/>
        </w:rPr>
        <w:t>,7 εκατ.</w:t>
      </w:r>
      <w:r w:rsidR="009C2605" w:rsidRPr="00976BEF">
        <w:rPr>
          <w:rFonts w:ascii="The Wave Sans TT" w:hAnsi="The Wave Sans TT" w:cs="Arial"/>
          <w:sz w:val="20"/>
          <w:szCs w:val="20"/>
        </w:rPr>
        <w:t xml:space="preserve"> τόνους </w:t>
      </w:r>
      <w:r w:rsidR="00976BEF" w:rsidRPr="00976BEF">
        <w:rPr>
          <w:rFonts w:ascii="The Wave Sans TT" w:hAnsi="The Wave Sans TT" w:cs="Arial"/>
          <w:sz w:val="20"/>
          <w:szCs w:val="20"/>
        </w:rPr>
        <w:t xml:space="preserve">(+3%) </w:t>
      </w:r>
      <w:r w:rsidR="009C2605" w:rsidRPr="00976BEF">
        <w:rPr>
          <w:rFonts w:ascii="The Wave Sans TT" w:hAnsi="The Wave Sans TT" w:cs="Arial"/>
          <w:sz w:val="20"/>
          <w:szCs w:val="20"/>
        </w:rPr>
        <w:t>αντίστοιχα</w:t>
      </w:r>
      <w:r w:rsidR="00164976" w:rsidRPr="00976BEF">
        <w:rPr>
          <w:rFonts w:ascii="The Wave Sans TT" w:hAnsi="The Wave Sans TT" w:cs="Arial"/>
          <w:sz w:val="20"/>
          <w:szCs w:val="20"/>
        </w:rPr>
        <w:t xml:space="preserve">. </w:t>
      </w:r>
    </w:p>
    <w:p w14:paraId="610AE9D2" w14:textId="77777777" w:rsidR="002B1452" w:rsidRDefault="002B1452" w:rsidP="00164976">
      <w:pPr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</w:p>
    <w:p w14:paraId="7AB91685" w14:textId="77777777" w:rsidR="00164976" w:rsidRPr="00B56009" w:rsidRDefault="00164976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B56009">
        <w:rPr>
          <w:rFonts w:ascii="The Wave Sans TT" w:hAnsi="The Wave Sans TT" w:cs="Arial"/>
          <w:b/>
          <w:sz w:val="20"/>
          <w:szCs w:val="20"/>
        </w:rPr>
        <w:t xml:space="preserve">Ισολογισμός και επενδυτικές δαπάνες </w:t>
      </w:r>
    </w:p>
    <w:p w14:paraId="29A1E879" w14:textId="2D2AE9C3" w:rsidR="009C0BF5" w:rsidRPr="00DB6DBE" w:rsidRDefault="00457669" w:rsidP="009C0BF5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 w:rsidRPr="002B1452">
        <w:rPr>
          <w:rFonts w:ascii="The Wave Sans TT" w:hAnsi="The Wave Sans TT" w:cs="Arial"/>
          <w:sz w:val="20"/>
          <w:szCs w:val="20"/>
        </w:rPr>
        <w:t xml:space="preserve">Η ισχυρή κερδοφορία για το 2023 είχε ως αποτέλεσμα την παραγωγή </w:t>
      </w:r>
      <w:r w:rsidR="00F515DA" w:rsidRPr="00ED0EB4">
        <w:rPr>
          <w:rFonts w:ascii="The Wave Sans TT" w:hAnsi="The Wave Sans TT" w:cs="Arial"/>
          <w:b/>
          <w:sz w:val="20"/>
          <w:szCs w:val="20"/>
        </w:rPr>
        <w:t>υψηλών λειτουργικών</w:t>
      </w:r>
      <w:r w:rsidRPr="00ED0EB4">
        <w:rPr>
          <w:rFonts w:ascii="The Wave Sans TT" w:hAnsi="The Wave Sans TT" w:cs="Arial"/>
          <w:b/>
          <w:sz w:val="20"/>
          <w:szCs w:val="20"/>
        </w:rPr>
        <w:t xml:space="preserve"> ταμειακών ροών</w:t>
      </w:r>
      <w:r w:rsidR="00F515DA" w:rsidRPr="002B1452">
        <w:rPr>
          <w:rFonts w:ascii="The Wave Sans TT" w:hAnsi="The Wave Sans TT" w:cs="Arial"/>
          <w:sz w:val="20"/>
          <w:szCs w:val="20"/>
        </w:rPr>
        <w:t xml:space="preserve"> </w:t>
      </w:r>
      <w:r w:rsidR="00F515DA" w:rsidRPr="00ED0EB4">
        <w:rPr>
          <w:rFonts w:ascii="The Wave Sans TT" w:hAnsi="The Wave Sans TT" w:cs="Arial"/>
          <w:b/>
          <w:sz w:val="20"/>
          <w:szCs w:val="20"/>
        </w:rPr>
        <w:t>συνολικού ύψους €</w:t>
      </w:r>
      <w:r w:rsidR="00F339C4" w:rsidRPr="00ED0EB4">
        <w:rPr>
          <w:rFonts w:ascii="The Wave Sans TT" w:hAnsi="The Wave Sans TT" w:cs="Arial"/>
          <w:b/>
          <w:sz w:val="20"/>
          <w:szCs w:val="20"/>
        </w:rPr>
        <w:t>965</w:t>
      </w:r>
      <w:r w:rsidR="00F515DA" w:rsidRPr="00ED0EB4">
        <w:rPr>
          <w:rFonts w:ascii="The Wave Sans TT" w:hAnsi="The Wave Sans TT" w:cs="Arial"/>
          <w:b/>
          <w:sz w:val="20"/>
          <w:szCs w:val="20"/>
        </w:rPr>
        <w:t xml:space="preserve"> εκατ</w:t>
      </w:r>
      <w:r w:rsidR="00F515DA" w:rsidRPr="002B1452">
        <w:rPr>
          <w:rFonts w:ascii="The Wave Sans TT" w:hAnsi="The Wave Sans TT" w:cs="Arial"/>
          <w:sz w:val="20"/>
          <w:szCs w:val="20"/>
        </w:rPr>
        <w:t xml:space="preserve">., </w:t>
      </w:r>
      <w:r w:rsidR="006B1C4C">
        <w:rPr>
          <w:rFonts w:ascii="The Wave Sans TT" w:hAnsi="The Wave Sans TT" w:cs="Arial"/>
          <w:sz w:val="20"/>
          <w:szCs w:val="20"/>
        </w:rPr>
        <w:t>ενώ οι</w:t>
      </w:r>
      <w:r w:rsidR="008A5241" w:rsidRPr="002B1452">
        <w:rPr>
          <w:rFonts w:ascii="The Wave Sans TT" w:hAnsi="The Wave Sans TT" w:cs="Arial"/>
          <w:sz w:val="20"/>
          <w:szCs w:val="20"/>
        </w:rPr>
        <w:t xml:space="preserve"> </w:t>
      </w:r>
      <w:r w:rsidR="008A5241" w:rsidRPr="00ED0EB4">
        <w:rPr>
          <w:rFonts w:ascii="The Wave Sans TT" w:hAnsi="The Wave Sans TT" w:cs="Arial"/>
          <w:b/>
          <w:sz w:val="20"/>
          <w:szCs w:val="20"/>
        </w:rPr>
        <w:t xml:space="preserve">επενδυτικές </w:t>
      </w:r>
      <w:r w:rsidR="00F515DA" w:rsidRPr="00ED0EB4">
        <w:rPr>
          <w:rFonts w:ascii="The Wave Sans TT" w:hAnsi="The Wave Sans TT" w:cs="Arial"/>
          <w:b/>
          <w:sz w:val="20"/>
          <w:szCs w:val="20"/>
        </w:rPr>
        <w:t>δαπάνες</w:t>
      </w:r>
      <w:r w:rsidR="008A5241" w:rsidRPr="00ED0EB4">
        <w:rPr>
          <w:rFonts w:ascii="The Wave Sans TT" w:hAnsi="The Wave Sans TT" w:cs="Arial"/>
          <w:b/>
          <w:sz w:val="20"/>
          <w:szCs w:val="20"/>
        </w:rPr>
        <w:t xml:space="preserve"> </w:t>
      </w:r>
      <w:r w:rsidR="006B1C4C" w:rsidRPr="00ED0EB4">
        <w:rPr>
          <w:rFonts w:ascii="The Wave Sans TT" w:hAnsi="The Wave Sans TT" w:cs="Arial"/>
          <w:b/>
          <w:sz w:val="20"/>
          <w:szCs w:val="20"/>
        </w:rPr>
        <w:t>ανήλθαν</w:t>
      </w:r>
      <w:r w:rsidR="008A5241" w:rsidRPr="00ED0EB4">
        <w:rPr>
          <w:rFonts w:ascii="The Wave Sans TT" w:hAnsi="The Wave Sans TT" w:cs="Arial"/>
          <w:b/>
          <w:sz w:val="20"/>
          <w:szCs w:val="20"/>
        </w:rPr>
        <w:t xml:space="preserve"> </w:t>
      </w:r>
      <w:r w:rsidR="00E706B6" w:rsidRPr="00ED0EB4">
        <w:rPr>
          <w:rFonts w:ascii="The Wave Sans TT" w:hAnsi="The Wave Sans TT" w:cs="Arial"/>
          <w:b/>
          <w:sz w:val="20"/>
          <w:szCs w:val="20"/>
        </w:rPr>
        <w:t>σε €</w:t>
      </w:r>
      <w:r w:rsidR="00050D3F" w:rsidRPr="00ED0EB4">
        <w:rPr>
          <w:rFonts w:ascii="The Wave Sans TT" w:hAnsi="The Wave Sans TT" w:cs="Arial"/>
          <w:b/>
          <w:sz w:val="20"/>
          <w:szCs w:val="20"/>
        </w:rPr>
        <w:t>2</w:t>
      </w:r>
      <w:r w:rsidR="00573981" w:rsidRPr="00ED0EB4">
        <w:rPr>
          <w:rFonts w:ascii="The Wave Sans TT" w:hAnsi="The Wave Sans TT" w:cs="Arial"/>
          <w:b/>
          <w:sz w:val="20"/>
          <w:szCs w:val="20"/>
        </w:rPr>
        <w:t>91</w:t>
      </w:r>
      <w:r w:rsidR="00E706B6" w:rsidRPr="00ED0EB4">
        <w:rPr>
          <w:rFonts w:ascii="The Wave Sans TT" w:hAnsi="The Wave Sans TT" w:cs="Arial"/>
          <w:b/>
          <w:sz w:val="20"/>
          <w:szCs w:val="20"/>
        </w:rPr>
        <w:t xml:space="preserve"> εκατ.</w:t>
      </w:r>
      <w:r w:rsidR="006B1C4C">
        <w:rPr>
          <w:rFonts w:ascii="The Wave Sans TT" w:hAnsi="The Wave Sans TT" w:cs="Arial"/>
          <w:sz w:val="20"/>
          <w:szCs w:val="20"/>
        </w:rPr>
        <w:t>,</w:t>
      </w:r>
      <w:r w:rsidR="008A5241" w:rsidRPr="002B1452">
        <w:rPr>
          <w:rFonts w:ascii="The Wave Sans TT" w:hAnsi="The Wave Sans TT" w:cs="Arial"/>
          <w:sz w:val="20"/>
          <w:szCs w:val="20"/>
        </w:rPr>
        <w:t xml:space="preserve"> με τα έργα </w:t>
      </w:r>
      <w:r w:rsidR="00633BDF" w:rsidRPr="00DB6DBE">
        <w:rPr>
          <w:rFonts w:ascii="The Wave Sans TT" w:hAnsi="The Wave Sans TT" w:cs="Arial"/>
          <w:sz w:val="20"/>
          <w:szCs w:val="20"/>
        </w:rPr>
        <w:t>συντήρησης και αναβάθμισης υποδομών στα διυλιστήρια</w:t>
      </w:r>
      <w:r w:rsidR="008A5241" w:rsidRPr="002B1452">
        <w:rPr>
          <w:rFonts w:ascii="The Wave Sans TT" w:hAnsi="The Wave Sans TT" w:cs="Arial"/>
          <w:sz w:val="20"/>
          <w:szCs w:val="20"/>
        </w:rPr>
        <w:t xml:space="preserve"> να απορροφούν το μεγαλύτερο μέρος, ενώ μικρότερα κονδύλια κατευθύνθηκαν στην </w:t>
      </w:r>
      <w:r w:rsidR="00DB6DBE">
        <w:rPr>
          <w:rFonts w:ascii="The Wave Sans TT" w:hAnsi="The Wave Sans TT" w:cs="Arial"/>
          <w:sz w:val="20"/>
          <w:szCs w:val="20"/>
        </w:rPr>
        <w:t>Εμπορία και στις ΑΠΕ.</w:t>
      </w:r>
      <w:r w:rsidR="008A5241" w:rsidRPr="002B1452">
        <w:rPr>
          <w:rFonts w:ascii="The Wave Sans TT" w:hAnsi="The Wave Sans TT" w:cs="Arial"/>
          <w:sz w:val="20"/>
          <w:szCs w:val="20"/>
        </w:rPr>
        <w:t xml:space="preserve"> Οι συνολικές επενδυτικές δαπάνες για το 2024 αναμένεται να αυξηθούν, κυρίως λόγω της επιτάχυνσης του προγράμματος αύξησης δυναμικότητας σε εγκατεστημένη ισχύ ΑΠΕ.</w:t>
      </w:r>
    </w:p>
    <w:p w14:paraId="10EB4124" w14:textId="77777777" w:rsidR="00500E95" w:rsidRPr="00DB6DBE" w:rsidRDefault="00DB6DBE" w:rsidP="00164976">
      <w:pPr>
        <w:spacing w:after="120"/>
        <w:jc w:val="both"/>
        <w:rPr>
          <w:rFonts w:ascii="The Wave Sans TT" w:hAnsi="The Wave Sans TT" w:cs="Arial"/>
          <w:sz w:val="20"/>
          <w:szCs w:val="20"/>
        </w:rPr>
      </w:pPr>
      <w:r>
        <w:rPr>
          <w:rFonts w:ascii="The Wave Sans TT" w:hAnsi="The Wave Sans TT" w:cs="Arial"/>
          <w:sz w:val="20"/>
          <w:szCs w:val="20"/>
        </w:rPr>
        <w:t xml:space="preserve">Ως αποτέλεσμα των υψηλών ελεύθερων ταμειακών ροών και παρά </w:t>
      </w:r>
      <w:r w:rsidRPr="00DB6DBE">
        <w:rPr>
          <w:rFonts w:ascii="The Wave Sans TT" w:hAnsi="The Wave Sans TT" w:cs="Arial"/>
          <w:sz w:val="20"/>
          <w:szCs w:val="20"/>
        </w:rPr>
        <w:t>τη σταδιακή καταβολή της συνεισφοράς αλληλεγγύης (€200 εκατ. καταβλήθηκαν εντός του 2023 επί συνολικού ποσού €267 εκατ.) και τη διανομή μερισμάτων συνολικού ύψους €229 εκατ.</w:t>
      </w:r>
      <w:r>
        <w:rPr>
          <w:rFonts w:ascii="The Wave Sans TT" w:hAnsi="The Wave Sans TT" w:cs="Arial"/>
          <w:sz w:val="20"/>
          <w:szCs w:val="20"/>
        </w:rPr>
        <w:t>, ο</w:t>
      </w:r>
      <w:r w:rsidR="00131521" w:rsidRPr="00DB6DBE">
        <w:rPr>
          <w:rFonts w:ascii="The Wave Sans TT" w:hAnsi="The Wave Sans TT" w:cs="Arial"/>
          <w:sz w:val="20"/>
          <w:szCs w:val="20"/>
        </w:rPr>
        <w:t xml:space="preserve"> καθαρός </w:t>
      </w:r>
      <w:r w:rsidR="00164976" w:rsidRPr="00DB6DBE">
        <w:rPr>
          <w:rFonts w:ascii="The Wave Sans TT" w:hAnsi="The Wave Sans TT" w:cs="Arial"/>
          <w:sz w:val="20"/>
          <w:szCs w:val="20"/>
        </w:rPr>
        <w:t>δανεισμ</w:t>
      </w:r>
      <w:r w:rsidR="00131521" w:rsidRPr="00DB6DBE">
        <w:rPr>
          <w:rFonts w:ascii="The Wave Sans TT" w:hAnsi="The Wave Sans TT" w:cs="Arial"/>
          <w:sz w:val="20"/>
          <w:szCs w:val="20"/>
        </w:rPr>
        <w:t xml:space="preserve">ός διαμορφώθηκε στα </w:t>
      </w:r>
      <w:r w:rsidR="00164976" w:rsidRPr="00DB6DBE">
        <w:rPr>
          <w:rFonts w:ascii="The Wave Sans TT" w:hAnsi="The Wave Sans TT" w:cs="Arial"/>
          <w:sz w:val="20"/>
          <w:szCs w:val="20"/>
        </w:rPr>
        <w:t>€</w:t>
      </w:r>
      <w:r w:rsidR="002169FD" w:rsidRPr="00DB6DBE">
        <w:rPr>
          <w:rFonts w:ascii="The Wave Sans TT" w:hAnsi="The Wave Sans TT" w:cs="Arial"/>
          <w:sz w:val="20"/>
          <w:szCs w:val="20"/>
        </w:rPr>
        <w:t>1,</w:t>
      </w:r>
      <w:r w:rsidR="00573981" w:rsidRPr="00DB6DBE">
        <w:rPr>
          <w:rFonts w:ascii="The Wave Sans TT" w:hAnsi="The Wave Sans TT" w:cs="Arial"/>
          <w:sz w:val="20"/>
          <w:szCs w:val="20"/>
        </w:rPr>
        <w:t>63</w:t>
      </w:r>
      <w:r w:rsidR="007A6EE2" w:rsidRPr="00DB6DBE">
        <w:rPr>
          <w:rFonts w:ascii="The Wave Sans TT" w:hAnsi="The Wave Sans TT" w:cs="Arial"/>
          <w:sz w:val="20"/>
          <w:szCs w:val="20"/>
        </w:rPr>
        <w:t xml:space="preserve"> </w:t>
      </w:r>
      <w:r w:rsidR="00164976" w:rsidRPr="00DB6DBE">
        <w:rPr>
          <w:rFonts w:ascii="The Wave Sans TT" w:hAnsi="The Wave Sans TT" w:cs="Arial"/>
          <w:sz w:val="20"/>
          <w:szCs w:val="20"/>
        </w:rPr>
        <w:t>δισ.</w:t>
      </w:r>
      <w:r w:rsidR="009C0BF5" w:rsidRPr="00DB6DBE">
        <w:rPr>
          <w:rFonts w:ascii="The Wave Sans TT" w:hAnsi="The Wave Sans TT" w:cs="Arial"/>
          <w:sz w:val="20"/>
          <w:szCs w:val="20"/>
        </w:rPr>
        <w:t xml:space="preserve">, </w:t>
      </w:r>
      <w:r w:rsidR="007A6EE2" w:rsidRPr="00DB6DBE">
        <w:rPr>
          <w:rFonts w:ascii="The Wave Sans TT" w:hAnsi="The Wave Sans TT" w:cs="Arial"/>
          <w:sz w:val="20"/>
          <w:szCs w:val="20"/>
        </w:rPr>
        <w:t>μειωμένος κατά €0,</w:t>
      </w:r>
      <w:r w:rsidR="00573981" w:rsidRPr="00DB6DBE">
        <w:rPr>
          <w:rFonts w:ascii="The Wave Sans TT" w:hAnsi="The Wave Sans TT" w:cs="Arial"/>
          <w:sz w:val="20"/>
          <w:szCs w:val="20"/>
        </w:rPr>
        <w:t xml:space="preserve">3 </w:t>
      </w:r>
      <w:r w:rsidR="007A6EE2" w:rsidRPr="00DB6DBE">
        <w:rPr>
          <w:rFonts w:ascii="The Wave Sans TT" w:hAnsi="The Wave Sans TT" w:cs="Arial"/>
          <w:sz w:val="20"/>
          <w:szCs w:val="20"/>
        </w:rPr>
        <w:t xml:space="preserve">δισ. </w:t>
      </w:r>
      <w:r w:rsidR="009268B2" w:rsidRPr="00DB6DBE">
        <w:rPr>
          <w:rFonts w:ascii="The Wave Sans TT" w:hAnsi="The Wave Sans TT" w:cs="Arial"/>
          <w:sz w:val="20"/>
          <w:szCs w:val="20"/>
        </w:rPr>
        <w:t>σε σχέση με το 2022</w:t>
      </w:r>
      <w:r>
        <w:rPr>
          <w:rFonts w:ascii="The Wave Sans TT" w:hAnsi="The Wave Sans TT" w:cs="Arial"/>
          <w:sz w:val="20"/>
          <w:szCs w:val="20"/>
        </w:rPr>
        <w:t xml:space="preserve">. </w:t>
      </w:r>
      <w:r w:rsidR="000F2E9F" w:rsidRPr="00DB6DBE">
        <w:rPr>
          <w:rFonts w:ascii="The Wave Sans TT" w:hAnsi="The Wave Sans TT" w:cs="Arial"/>
          <w:sz w:val="20"/>
          <w:szCs w:val="20"/>
        </w:rPr>
        <w:t>Ο</w:t>
      </w:r>
      <w:r w:rsidR="00164976" w:rsidRPr="00DB6DBE">
        <w:rPr>
          <w:rFonts w:ascii="The Wave Sans TT" w:hAnsi="The Wave Sans TT" w:cs="Arial"/>
          <w:sz w:val="20"/>
          <w:szCs w:val="20"/>
        </w:rPr>
        <w:t xml:space="preserve"> </w:t>
      </w:r>
      <w:r w:rsidR="00164976" w:rsidRPr="00ED0EB4">
        <w:rPr>
          <w:rFonts w:ascii="The Wave Sans TT" w:hAnsi="The Wave Sans TT" w:cs="Arial"/>
          <w:b/>
          <w:sz w:val="20"/>
          <w:szCs w:val="20"/>
        </w:rPr>
        <w:t>δείκτη</w:t>
      </w:r>
      <w:r w:rsidR="000F2E9F" w:rsidRPr="00ED0EB4">
        <w:rPr>
          <w:rFonts w:ascii="The Wave Sans TT" w:hAnsi="The Wave Sans TT" w:cs="Arial"/>
          <w:b/>
          <w:sz w:val="20"/>
          <w:szCs w:val="20"/>
        </w:rPr>
        <w:t>ς</w:t>
      </w:r>
      <w:r w:rsidR="00164976" w:rsidRPr="00ED0EB4">
        <w:rPr>
          <w:rFonts w:ascii="The Wave Sans TT" w:hAnsi="The Wave Sans TT" w:cs="Arial"/>
          <w:b/>
          <w:sz w:val="20"/>
          <w:szCs w:val="20"/>
        </w:rPr>
        <w:t xml:space="preserve"> δανειακής </w:t>
      </w:r>
      <w:proofErr w:type="spellStart"/>
      <w:r w:rsidR="00164976" w:rsidRPr="00ED0EB4">
        <w:rPr>
          <w:rFonts w:ascii="The Wave Sans TT" w:hAnsi="The Wave Sans TT" w:cs="Arial"/>
          <w:b/>
          <w:sz w:val="20"/>
          <w:szCs w:val="20"/>
        </w:rPr>
        <w:t>μόχλευσης</w:t>
      </w:r>
      <w:proofErr w:type="spellEnd"/>
      <w:r w:rsidR="00164976" w:rsidRPr="00DB6DBE">
        <w:rPr>
          <w:rFonts w:ascii="The Wave Sans TT" w:hAnsi="The Wave Sans TT" w:cs="Arial"/>
          <w:sz w:val="20"/>
          <w:szCs w:val="20"/>
        </w:rPr>
        <w:t xml:space="preserve"> (καθαρός δανεισμός προς συνολικά κεφάλαια) </w:t>
      </w:r>
      <w:r w:rsidR="000F2E9F" w:rsidRPr="00ED0EB4">
        <w:rPr>
          <w:rFonts w:ascii="The Wave Sans TT" w:hAnsi="The Wave Sans TT" w:cs="Arial"/>
          <w:b/>
          <w:sz w:val="20"/>
          <w:szCs w:val="20"/>
        </w:rPr>
        <w:t xml:space="preserve">υποχώρησε </w:t>
      </w:r>
      <w:r w:rsidR="00164976" w:rsidRPr="00ED0EB4">
        <w:rPr>
          <w:rFonts w:ascii="The Wave Sans TT" w:hAnsi="The Wave Sans TT" w:cs="Arial"/>
          <w:b/>
          <w:sz w:val="20"/>
          <w:szCs w:val="20"/>
        </w:rPr>
        <w:t>στο 3</w:t>
      </w:r>
      <w:r w:rsidR="00573981" w:rsidRPr="00ED0EB4">
        <w:rPr>
          <w:rFonts w:ascii="The Wave Sans TT" w:hAnsi="The Wave Sans TT" w:cs="Arial"/>
          <w:b/>
          <w:sz w:val="20"/>
          <w:szCs w:val="20"/>
        </w:rPr>
        <w:t>6</w:t>
      </w:r>
      <w:r w:rsidR="00164976" w:rsidRPr="00ED0EB4">
        <w:rPr>
          <w:rFonts w:ascii="The Wave Sans TT" w:hAnsi="The Wave Sans TT" w:cs="Arial"/>
          <w:b/>
          <w:sz w:val="20"/>
          <w:szCs w:val="20"/>
        </w:rPr>
        <w:t>%</w:t>
      </w:r>
      <w:r w:rsidR="00573981" w:rsidRPr="00DB6DBE">
        <w:rPr>
          <w:rFonts w:ascii="The Wave Sans TT" w:hAnsi="The Wave Sans TT" w:cs="Arial"/>
          <w:sz w:val="20"/>
          <w:szCs w:val="20"/>
        </w:rPr>
        <w:t xml:space="preserve"> σε σχέση με 42% </w:t>
      </w:r>
      <w:r w:rsidR="00685242" w:rsidRPr="00DB6DBE">
        <w:rPr>
          <w:rFonts w:ascii="The Wave Sans TT" w:hAnsi="The Wave Sans TT" w:cs="Arial"/>
          <w:sz w:val="20"/>
          <w:szCs w:val="20"/>
        </w:rPr>
        <w:t>το 2022</w:t>
      </w:r>
      <w:r w:rsidR="00164976" w:rsidRPr="00DB6DBE">
        <w:rPr>
          <w:rFonts w:ascii="The Wave Sans TT" w:hAnsi="The Wave Sans TT" w:cs="Arial"/>
          <w:sz w:val="20"/>
          <w:szCs w:val="20"/>
        </w:rPr>
        <w:t>.</w:t>
      </w:r>
      <w:r w:rsidR="00AF1A2C" w:rsidRPr="00DB6DBE">
        <w:rPr>
          <w:rFonts w:ascii="The Wave Sans TT" w:hAnsi="The Wave Sans TT" w:cs="Arial"/>
          <w:sz w:val="20"/>
          <w:szCs w:val="20"/>
        </w:rPr>
        <w:t xml:space="preserve"> </w:t>
      </w:r>
    </w:p>
    <w:p w14:paraId="2C2ECC8F" w14:textId="30387BE5" w:rsidR="006044CF" w:rsidRPr="00ED0EB4" w:rsidRDefault="00DB6DBE" w:rsidP="00164976">
      <w:pPr>
        <w:spacing w:after="120"/>
        <w:jc w:val="both"/>
        <w:rPr>
          <w:rFonts w:ascii="The Wave Sans TT" w:hAnsi="The Wave Sans TT" w:cs="Arial"/>
          <w:b/>
          <w:sz w:val="20"/>
          <w:szCs w:val="20"/>
        </w:rPr>
      </w:pPr>
      <w:r>
        <w:rPr>
          <w:rFonts w:ascii="The Wave Sans TT" w:hAnsi="The Wave Sans TT" w:cs="Arial"/>
          <w:sz w:val="20"/>
          <w:szCs w:val="20"/>
        </w:rPr>
        <w:t>Επιπλέον, κ</w:t>
      </w:r>
      <w:r w:rsidR="006044CF" w:rsidRPr="00DB6DBE">
        <w:rPr>
          <w:rFonts w:ascii="The Wave Sans TT" w:hAnsi="The Wave Sans TT" w:cs="Arial"/>
          <w:sz w:val="20"/>
          <w:szCs w:val="20"/>
        </w:rPr>
        <w:t xml:space="preserve">ατά τη διάρκεια του </w:t>
      </w:r>
      <w:r w:rsidR="00685242" w:rsidRPr="00DB6DBE">
        <w:rPr>
          <w:rFonts w:ascii="The Wave Sans TT" w:hAnsi="The Wave Sans TT" w:cs="Arial"/>
          <w:sz w:val="20"/>
          <w:szCs w:val="20"/>
        </w:rPr>
        <w:t xml:space="preserve">2023 </w:t>
      </w:r>
      <w:r w:rsidR="006044CF" w:rsidRPr="00ED0EB4">
        <w:rPr>
          <w:rFonts w:ascii="The Wave Sans TT" w:hAnsi="The Wave Sans TT" w:cs="Arial"/>
          <w:b/>
          <w:sz w:val="20"/>
          <w:szCs w:val="20"/>
        </w:rPr>
        <w:t>ολοκληρώθηκε η αναχρηματοδότηση</w:t>
      </w:r>
      <w:r w:rsidR="002A6BFF" w:rsidRPr="00ED0EB4">
        <w:rPr>
          <w:rFonts w:ascii="The Wave Sans TT" w:hAnsi="The Wave Sans TT" w:cs="Arial"/>
          <w:b/>
          <w:sz w:val="20"/>
          <w:szCs w:val="20"/>
        </w:rPr>
        <w:t xml:space="preserve"> </w:t>
      </w:r>
      <w:r w:rsidR="00685242" w:rsidRPr="00ED0EB4">
        <w:rPr>
          <w:rFonts w:ascii="The Wave Sans TT" w:hAnsi="The Wave Sans TT" w:cs="Arial"/>
          <w:b/>
          <w:sz w:val="20"/>
          <w:szCs w:val="20"/>
        </w:rPr>
        <w:t>δανεισμού συνολικού ύψους €1,2 δισ.,</w:t>
      </w:r>
      <w:r w:rsidR="00685242" w:rsidRPr="00DB6DBE">
        <w:rPr>
          <w:rFonts w:ascii="The Wave Sans TT" w:hAnsi="The Wave Sans TT" w:cs="Arial"/>
          <w:sz w:val="20"/>
          <w:szCs w:val="20"/>
        </w:rPr>
        <w:t xml:space="preserve"> βελτιώνοντας το προφίλ ωρίμανσης, ενώ οι </w:t>
      </w:r>
      <w:r w:rsidR="00685242" w:rsidRPr="00ED0EB4">
        <w:rPr>
          <w:rFonts w:ascii="The Wave Sans TT" w:hAnsi="The Wave Sans TT" w:cs="Arial"/>
          <w:b/>
          <w:sz w:val="20"/>
          <w:szCs w:val="20"/>
        </w:rPr>
        <w:t xml:space="preserve">διαθέσιμες πιστωτικές γραμμές </w:t>
      </w:r>
      <w:r w:rsidR="00685242" w:rsidRPr="00DB6DBE">
        <w:rPr>
          <w:rFonts w:ascii="The Wave Sans TT" w:hAnsi="The Wave Sans TT" w:cs="Arial"/>
          <w:sz w:val="20"/>
          <w:szCs w:val="20"/>
        </w:rPr>
        <w:t>ανέρχοντα</w:t>
      </w:r>
      <w:r w:rsidR="00F339C4">
        <w:rPr>
          <w:rFonts w:ascii="The Wave Sans TT" w:hAnsi="The Wave Sans TT" w:cs="Arial"/>
          <w:sz w:val="20"/>
          <w:szCs w:val="20"/>
        </w:rPr>
        <w:t xml:space="preserve">ν στο τέλος του 2023 σε </w:t>
      </w:r>
      <w:r w:rsidR="00BD64EE" w:rsidRPr="00ED0EB4">
        <w:rPr>
          <w:rFonts w:ascii="The Wave Sans TT" w:hAnsi="The Wave Sans TT" w:cs="Arial"/>
          <w:b/>
          <w:sz w:val="20"/>
          <w:szCs w:val="20"/>
        </w:rPr>
        <w:t>€1,</w:t>
      </w:r>
      <w:r w:rsidR="00F339C4" w:rsidRPr="00ED0EB4">
        <w:rPr>
          <w:rFonts w:ascii="The Wave Sans TT" w:hAnsi="The Wave Sans TT" w:cs="Arial"/>
          <w:b/>
          <w:sz w:val="20"/>
          <w:szCs w:val="20"/>
        </w:rPr>
        <w:t>1</w:t>
      </w:r>
      <w:r w:rsidR="00A3058A" w:rsidRPr="00ED0EB4">
        <w:rPr>
          <w:rFonts w:ascii="The Wave Sans TT" w:hAnsi="The Wave Sans TT" w:cs="Arial"/>
          <w:b/>
          <w:sz w:val="20"/>
          <w:szCs w:val="20"/>
        </w:rPr>
        <w:t xml:space="preserve"> </w:t>
      </w:r>
      <w:r w:rsidR="00BD64EE" w:rsidRPr="00ED0EB4">
        <w:rPr>
          <w:rFonts w:ascii="The Wave Sans TT" w:hAnsi="The Wave Sans TT" w:cs="Arial"/>
          <w:b/>
          <w:sz w:val="20"/>
          <w:szCs w:val="20"/>
        </w:rPr>
        <w:t>δισ.</w:t>
      </w:r>
      <w:r w:rsidR="00685242" w:rsidRPr="00ED0EB4">
        <w:rPr>
          <w:rFonts w:ascii="The Wave Sans TT" w:hAnsi="The Wave Sans TT" w:cs="Arial"/>
          <w:b/>
          <w:sz w:val="20"/>
          <w:szCs w:val="20"/>
        </w:rPr>
        <w:t>.</w:t>
      </w:r>
    </w:p>
    <w:p w14:paraId="1A6A528F" w14:textId="77777777" w:rsidR="00164976" w:rsidRDefault="00164976" w:rsidP="00164976">
      <w:pPr>
        <w:widowControl w:val="0"/>
        <w:adjustRightInd w:val="0"/>
        <w:snapToGrid w:val="0"/>
        <w:spacing w:after="120"/>
        <w:ind w:right="-199"/>
        <w:jc w:val="both"/>
        <w:textAlignment w:val="baseline"/>
        <w:rPr>
          <w:rFonts w:ascii="The Wave Sans TT" w:eastAsia="PMingLiU" w:hAnsi="The Wave Sans TT" w:cs="Arial"/>
          <w:b/>
          <w:snapToGrid w:val="0"/>
          <w:color w:val="FF0000"/>
          <w:sz w:val="8"/>
          <w:szCs w:val="20"/>
          <w:lang w:eastAsia="ja-JP"/>
        </w:rPr>
      </w:pPr>
    </w:p>
    <w:p w14:paraId="7BEDEBCC" w14:textId="77777777" w:rsidR="00AD05C3" w:rsidRDefault="00AD05C3" w:rsidP="00164976">
      <w:pPr>
        <w:widowControl w:val="0"/>
        <w:adjustRightInd w:val="0"/>
        <w:snapToGrid w:val="0"/>
        <w:spacing w:after="120"/>
        <w:ind w:right="-199"/>
        <w:jc w:val="both"/>
        <w:textAlignment w:val="baseline"/>
        <w:rPr>
          <w:rFonts w:ascii="The Wave Sans TT" w:eastAsia="PMingLiU" w:hAnsi="The Wave Sans TT" w:cs="Arial"/>
          <w:b/>
          <w:snapToGrid w:val="0"/>
          <w:color w:val="FF0000"/>
          <w:sz w:val="8"/>
          <w:szCs w:val="20"/>
          <w:lang w:eastAsia="ja-JP"/>
        </w:rPr>
      </w:pPr>
    </w:p>
    <w:p w14:paraId="3924EFFC" w14:textId="77777777" w:rsidR="00164976" w:rsidRPr="00B56009" w:rsidRDefault="00164976" w:rsidP="000A47AC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Σχολιάζοντας τα αποτελέσματα, ο Διευθύνων Σύμβουλος της 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  <w:t>HELLENiQ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 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  <w:t>ENERGY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 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  <w:t>Holdings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 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  <w:t>A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.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  <w:t>E</w:t>
      </w:r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., Ανδρέας </w:t>
      </w:r>
      <w:proofErr w:type="spellStart"/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Σιάμισιης</w:t>
      </w:r>
      <w:proofErr w:type="spellEnd"/>
      <w:r w:rsidRPr="00B56009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, επεσήμανε:</w:t>
      </w:r>
    </w:p>
    <w:p w14:paraId="59176DB0" w14:textId="78BEF861" w:rsidR="00E8130C" w:rsidRPr="00A129D8" w:rsidRDefault="00164976" w:rsidP="000A47AC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</w:pPr>
      <w:r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«</w:t>
      </w:r>
      <w:r w:rsidR="00E8130C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Το 2023 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έκλεισε </w:t>
      </w:r>
      <w:r w:rsidR="0038706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ως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130C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ένα ακόμη </w:t>
      </w:r>
      <w:r w:rsidR="00A129D8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επιτυχημένο </w:t>
      </w:r>
      <w:r w:rsidR="00E8130C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έτος</w:t>
      </w:r>
      <w:r w:rsidR="00A129D8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για τον Όμιλο, καθώς </w:t>
      </w:r>
      <w:r w:rsidR="00101A6D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ο πρώτος κύκλος </w:t>
      </w:r>
      <w:r w:rsidR="00A129D8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υλοποίηση</w:t>
      </w:r>
      <w:r w:rsidR="00101A6D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ς</w:t>
      </w:r>
      <w:r w:rsidR="00A129D8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του στρατηγικού πλάνου </w:t>
      </w:r>
      <w:r w:rsidR="00A129D8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val="en-US" w:eastAsia="ja-JP"/>
        </w:rPr>
        <w:t>Vision</w:t>
      </w:r>
      <w:r w:rsidR="00A129D8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2025 </w:t>
      </w:r>
      <w:r w:rsidR="00101A6D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ολοκληρώνεται</w:t>
      </w:r>
      <w:r w:rsidR="00A129D8" w:rsidRPr="00A129D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 με ιδιαίτερα θετικά αποτελέσματα σε επίπεδο λειτουργικής απόδοσης και κερδοφορίας</w:t>
      </w:r>
      <w:r w:rsidR="00C95A63" w:rsidRPr="002B145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. 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101A6D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Μετά τ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α</w:t>
      </w:r>
      <w:r w:rsidR="00101A6D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πρωτόγνωρα 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υψηλά </w:t>
      </w:r>
      <w:r w:rsidR="00101A6D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επίπεδα των διεθνών περιθωρίων διύλισης το 2022, 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τα οικονομικά αποτελέσματα 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για το 2023 </w:t>
      </w:r>
      <w:r w:rsidR="00101A6D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προφανώς διαμορφώθηκαν 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χαμηλότερα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αλλά </w:t>
      </w:r>
      <w:r w:rsidR="003C374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υπάρχουν σημαντικά θετικά χαρακτηριστικά που μας καθιστούν πιο αισιόδοξους.</w:t>
      </w:r>
    </w:p>
    <w:p w14:paraId="72D7DC4A" w14:textId="755F7DE2" w:rsidR="005A50FC" w:rsidRDefault="003C374B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</w:pP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Αρχικά, 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ένα 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μεγάλο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μέρος της κερδοφορίας </w:t>
      </w:r>
      <w:r w:rsidR="0003689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για το 2023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προή</w:t>
      </w:r>
      <w:r w:rsidR="00F339C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λ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θε από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βελτιώσεις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στη λειτουργία της Εταιρ</w:t>
      </w:r>
      <w:r w:rsidR="00F339C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ε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ίας </w:t>
      </w:r>
      <w:r w:rsidR="0003689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και </w:t>
      </w:r>
      <w:r w:rsidR="00D424AB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την υλοποίηση του προγράμματος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στρατηγικού μετασχηματισμού, παράγοντες που είναι πιο 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ελεγχόμενοι και προβλέψιμοι,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σε σχέση με ένα διεθνές περιβάλλον που μπορεί να </w:t>
      </w:r>
      <w:r w:rsidR="0003689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παρουσιάσει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απρόβλεπτες αυξομειώσεις.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Μέρος των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νέων μας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προσπαθειών είναι η </w:t>
      </w:r>
      <w:r w:rsidR="00325298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ενίσχυση </w:t>
      </w:r>
      <w:r w:rsidR="00185601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της Εμπορίας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στο εξωτερικό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, το άνοιγμα σε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νέες αγορές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εμπορία</w:t>
      </w:r>
      <w:r w:rsidR="0003689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ς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καυσίμων αλλά και ΑΠΕ, </w:t>
      </w:r>
      <w:r w:rsidR="0032529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παράλληλα με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32529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τη </w:t>
      </w:r>
      <w:r w:rsidR="00185601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σ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ημαντική ανανέωση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και ενδυνάμωση του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ανθρώπινου δυναμικού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και </w:t>
      </w:r>
      <w:r w:rsidR="0032529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την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αλλαγή κουλτούρας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σε </w:t>
      </w:r>
      <w:r w:rsidR="0003689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ολόκληρο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τον Όμιλο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.</w:t>
      </w:r>
    </w:p>
    <w:p w14:paraId="5E2AFD8A" w14:textId="00B75894" w:rsidR="00EC4F1C" w:rsidRPr="00384B6D" w:rsidRDefault="005E1509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</w:pP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Ένα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δεύτερο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σημείο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,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αποτελεί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η σταδιακή αλλαγή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στ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η μέχρι πρόσφατα 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μονοδιάστατη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προσέγγιση για το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ν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κλάδο ενέργειας με μια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στροφή στο ρεαλισμό,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αναγνωρίζοντας ότι τα πετρελαιοειδή είναι μέρος της λύσης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και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πρέπει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να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lastRenderedPageBreak/>
        <w:t xml:space="preserve">συνεισφέρουν με πιο 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συγκεκριμένο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τρόπο στην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ενεργειακή μετάβαση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.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Ενδεικτικό είναι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το </w:t>
      </w:r>
      <w:r w:rsidR="00E82F51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συμπέρασμα, </w:t>
      </w:r>
      <w:r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διατυπωμένο τόσο καθαρά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για πρώτη φορά στη</w:t>
      </w:r>
      <w:r w:rsidR="00185601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ν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πρόσφατη 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val="en-US" w:eastAsia="ja-JP"/>
        </w:rPr>
        <w:t>COP</w:t>
      </w:r>
      <w:r w:rsidR="005A50FC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28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</w:t>
      </w:r>
      <w:r w:rsidR="005A50FC" w:rsidRPr="006A418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ότι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οι ακραίες μη</w:t>
      </w:r>
      <w:r w:rsidR="00A26F4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-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εφαρμόσιμες λύσεις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δεν λύνουν το πρόβλημα.  Αντίθετα,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λειτουργούν αρνητικά όσον αφορά το περιβάλλον</w:t>
      </w:r>
      <w:r w:rsidR="001A0BEA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καθώς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αποτρ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έπουν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επενδύσεις βελτίωσης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στους υφιστάμενους</w:t>
      </w:r>
      <w:r w:rsidR="0038706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κλάδους ενέργειας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που θα είχαν σημαντικά περιβαλλοντικά οφέλη</w:t>
      </w:r>
      <w:r w:rsidR="001A0BEA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 ενώ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επηρεάζουν αρνητικά </w:t>
      </w:r>
      <w:r w:rsidR="00E82F5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και </w:t>
      </w:r>
      <w:r w:rsidR="00F421F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το 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κόστος ενέργειας και την ενεργειακή ασφάλεια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 ιδιαίτερα στην Ευρωπαϊκή αγορά</w:t>
      </w:r>
      <w:r w:rsidR="005A50F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.</w:t>
      </w:r>
    </w:p>
    <w:p w14:paraId="0E146BA1" w14:textId="77777777" w:rsidR="007016EE" w:rsidRPr="00487EB5" w:rsidRDefault="00E82F51" w:rsidP="007016EE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</w:pP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Μέσα στο περιβάλλον αυτό, η πολύ καλή κερδοφορία του </w:t>
      </w:r>
      <w:r w:rsidR="00384B6D" w:rsidRPr="00384B6D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2023, </w:t>
      </w:r>
      <w:r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με</w:t>
      </w:r>
      <w:r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</w:t>
      </w:r>
      <w:r w:rsidR="00384B6D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Συγκρίσιμα </w:t>
      </w:r>
      <w:r w:rsidR="009B1821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val="en-US" w:eastAsia="ja-JP"/>
        </w:rPr>
        <w:t>EBITDA</w:t>
      </w:r>
      <w:r w:rsidR="009B1821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</w:t>
      </w:r>
      <w:r w:rsidR="00AD05C3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και καθαρά κέρδη </w:t>
      </w:r>
      <w:r w:rsidR="00270F51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€</w:t>
      </w:r>
      <w:r w:rsidR="00384B6D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1</w:t>
      </w:r>
      <w:r w:rsidR="000E4899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,24 δι</w:t>
      </w:r>
      <w:r w:rsidR="00E13F2C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σ.</w:t>
      </w:r>
      <w:r w:rsidR="00AD05C3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και €0,6 </w:t>
      </w:r>
      <w:r w:rsidR="00AD05C3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δι</w:t>
      </w:r>
      <w:r w:rsidR="00AD05C3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σ. αντίστοιχα</w:t>
      </w:r>
      <w:r w:rsidR="00270F51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, </w:t>
      </w:r>
      <w:r w:rsidRPr="006A418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βοήθησαν στην περαιτέρω ισχυροποίηση της θέσης του Ομίλου</w:t>
      </w:r>
      <w:r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</w:t>
      </w:r>
      <w:r w:rsidR="00487EB5" w:rsidRPr="00713E1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και </w:t>
      </w:r>
      <w:r w:rsidR="00487EB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λ</w:t>
      </w:r>
      <w:r w:rsidR="009F5DD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αμβάνοντας </w:t>
      </w:r>
      <w:r w:rsidR="00391A3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υπόψη τα παραπάνω, το Δ.Σ. </w:t>
      </w:r>
      <w:r w:rsidR="00487EB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θ</w:t>
      </w:r>
      <w:r w:rsidR="00391A3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α προτείνει </w:t>
      </w:r>
      <w:r w:rsidR="00487EB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προς έγκριση από τη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ν</w:t>
      </w:r>
      <w:r w:rsidR="00487EB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επόμενη Γενική Συνέλευση </w:t>
      </w:r>
      <w:r w:rsidR="00391A3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τελικό μέρισμα €0,</w:t>
      </w:r>
      <w:r w:rsidR="000E489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6</w:t>
      </w:r>
      <w:r w:rsidR="00391A3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0 ανά μετοχή, </w:t>
      </w:r>
      <w:r w:rsidR="00E13F2C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διαμορφώνοντας</w:t>
      </w:r>
      <w:r w:rsidR="00391A37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το </w:t>
      </w:r>
      <w:r w:rsidR="00391A37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συνολικό ποσό διανομής από τα αποτελέσματα χρήσης σ</w:t>
      </w:r>
      <w:r w:rsidR="00E13F2C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ε</w:t>
      </w:r>
      <w:r w:rsidR="00391A37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€0,</w:t>
      </w:r>
      <w:r w:rsidR="000E4899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9</w:t>
      </w:r>
      <w:r w:rsidR="00391A37" w:rsidRPr="00217AF6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0 ανά μετοχή.</w:t>
      </w:r>
      <w:r w:rsidR="00487EB5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</w:t>
      </w:r>
      <w:r w:rsidR="007016EE" w:rsidRPr="006A418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Τέλος, σημαντικό είναι ότι 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εκτός από τα θετικά οικονομικά αποτελέσματα, </w:t>
      </w:r>
      <w:r w:rsidR="007016EE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>υψηλές παρέμειναν και οι επιδόσεις με βάση κριτήρια</w:t>
      </w:r>
      <w:r w:rsidR="007016EE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eastAsia="ja-JP"/>
        </w:rPr>
        <w:t xml:space="preserve"> </w:t>
      </w:r>
      <w:r w:rsidR="007016EE" w:rsidRPr="00ED0EB4">
        <w:rPr>
          <w:rFonts w:ascii="The Wave Sans TT" w:eastAsia="PMingLiU" w:hAnsi="The Wave Sans TT" w:cs="Arial"/>
          <w:b/>
          <w:i/>
          <w:snapToGrid w:val="0"/>
          <w:sz w:val="20"/>
          <w:szCs w:val="20"/>
          <w:lang w:val="en-US" w:eastAsia="ja-JP"/>
        </w:rPr>
        <w:t>ESG</w:t>
      </w:r>
      <w:r w:rsidR="007016EE" w:rsidRP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, 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συμπεριλαμβανομένης της προόδου σε σημαντικούς δείκτες, όπως για παράδειγμα η μείωση </w:t>
      </w:r>
      <w:r w:rsidR="007016EE" w:rsidRPr="001A0BEA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άνω του 7%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του </w:t>
      </w:r>
      <w:proofErr w:type="spellStart"/>
      <w:r w:rsidR="007016EE" w:rsidRPr="0025695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ανηγμένου</w:t>
      </w:r>
      <w:proofErr w:type="spellEnd"/>
      <w:r w:rsidR="007016EE" w:rsidRPr="0025695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δείκτη εκπομπών CO</w:t>
      </w:r>
      <w:r w:rsidR="007016EE" w:rsidRPr="0025695E">
        <w:rPr>
          <w:rFonts w:ascii="The Wave Sans TT" w:eastAsia="PMingLiU" w:hAnsi="The Wave Sans TT" w:cs="Arial"/>
          <w:i/>
          <w:snapToGrid w:val="0"/>
          <w:sz w:val="20"/>
          <w:szCs w:val="20"/>
          <w:vertAlign w:val="subscript"/>
          <w:lang w:eastAsia="ja-JP"/>
        </w:rPr>
        <w:t>2</w:t>
      </w:r>
      <w:r w:rsidR="007016EE" w:rsidRPr="0025695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(ανά επίπεδο δραστηριότητας)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, καθώς και η βελτίωση σε αξιολογήσεις 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val="en-US" w:eastAsia="ja-JP"/>
        </w:rPr>
        <w:t>ESG</w:t>
      </w:r>
      <w:r w:rsidR="007016EE" w:rsidRPr="00625103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από οίκους εξωτερικού, διατηρώντας και την ιδιαίτερη προσοχή και συνεισφορά με πάγιες ή έκτακτες κοινωνικές δράσεις.</w:t>
      </w:r>
    </w:p>
    <w:p w14:paraId="2E4982F5" w14:textId="24404A08" w:rsidR="00625AD1" w:rsidRPr="005F08B2" w:rsidRDefault="00487EB5" w:rsidP="006A4184">
      <w:pPr>
        <w:widowControl w:val="0"/>
        <w:adjustRightInd w:val="0"/>
        <w:snapToGrid w:val="0"/>
        <w:spacing w:after="120"/>
        <w:ind w:right="26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</w:pP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Κλείνοντας, θα ήθελα να ευχαριστήσω 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όλους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τους 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εργαζ</w:t>
      </w:r>
      <w:r w:rsidR="004A05C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ο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μ</w:t>
      </w:r>
      <w:r w:rsidR="004A05C8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έ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νους μας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που συμμετείχαν στη</w:t>
      </w:r>
      <w:r w:rsidR="00ED0EB4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ν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προσπάθεια αυτή</w:t>
      </w:r>
      <w:r w:rsidR="00FF75D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τους μετόχους 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για την εμπιστοσύνη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5E1509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τους σ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την 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Εταιρεία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όλα αυτά τα χρόνια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, 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καθώς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και τους νέους μετόχους</w:t>
      </w:r>
      <w:r w:rsidR="00FF75D5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που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πίστεψαν στις προοπτικές του Ομίλου και συμμετείχαν στη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ν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πρόσφατη 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προσπάθεια διεύρυνσης της μετοχικής μας βάσης</w:t>
      </w:r>
      <w:r w:rsidR="007016E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,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μέσω της πώλησης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του 11% των μετοχών της Εταιρ</w:t>
      </w:r>
      <w:r w:rsidR="00185601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ε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ίας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από τους δύο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 </w:t>
      </w:r>
      <w:r w:rsidR="0094128E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 xml:space="preserve">βασικούς 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μας μετόχ</w:t>
      </w:r>
      <w:r w:rsidR="00844586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ους.</w:t>
      </w:r>
      <w:r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.</w:t>
      </w:r>
      <w:r w:rsidR="00BB537E" w:rsidRPr="005F08B2">
        <w:rPr>
          <w:rFonts w:ascii="The Wave Sans TT" w:eastAsia="PMingLiU" w:hAnsi="The Wave Sans TT" w:cs="Arial"/>
          <w:i/>
          <w:snapToGrid w:val="0"/>
          <w:sz w:val="20"/>
          <w:szCs w:val="20"/>
          <w:lang w:eastAsia="ja-JP"/>
        </w:rPr>
        <w:t>»</w:t>
      </w:r>
    </w:p>
    <w:bookmarkEnd w:id="1"/>
    <w:p w14:paraId="707686B3" w14:textId="77777777" w:rsidR="00AD05C3" w:rsidRPr="005F08B2" w:rsidRDefault="00AD05C3" w:rsidP="000A47AC">
      <w:pPr>
        <w:widowControl w:val="0"/>
        <w:adjustRightInd w:val="0"/>
        <w:snapToGrid w:val="0"/>
        <w:spacing w:after="120"/>
        <w:ind w:right="23" w:firstLine="11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</w:pPr>
    </w:p>
    <w:p w14:paraId="0E1A83DB" w14:textId="77777777" w:rsidR="00164976" w:rsidRPr="00B56009" w:rsidRDefault="00164976" w:rsidP="000A47AC">
      <w:pPr>
        <w:widowControl w:val="0"/>
        <w:adjustRightInd w:val="0"/>
        <w:snapToGrid w:val="0"/>
        <w:spacing w:after="120"/>
        <w:ind w:right="23" w:firstLine="11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</w:pPr>
      <w:r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 xml:space="preserve">Κύρια σημεία των αποτελεσμάτων </w:t>
      </w:r>
      <w:r w:rsidR="00FA6F81"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>Δ</w:t>
      </w:r>
      <w:r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 xml:space="preserve">’ Τριμήνου </w:t>
      </w:r>
      <w:r w:rsidR="00FA6F81"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 xml:space="preserve">/ Έτους </w:t>
      </w:r>
      <w:r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 xml:space="preserve">2023 για τις επιμέρους επιχειρηματικές δραστηριότητες, αναφέρονται </w:t>
      </w:r>
      <w:r w:rsidR="00C46560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>στη συνέχεια</w:t>
      </w:r>
      <w:r w:rsidRPr="00B56009">
        <w:rPr>
          <w:rFonts w:ascii="The Wave Sans TT" w:eastAsia="PMingLiU" w:hAnsi="The Wave Sans TT" w:cs="Arial"/>
          <w:snapToGrid w:val="0"/>
          <w:sz w:val="20"/>
          <w:szCs w:val="20"/>
          <w:u w:val="single"/>
          <w:lang w:eastAsia="ja-JP"/>
        </w:rPr>
        <w:t>:</w:t>
      </w:r>
    </w:p>
    <w:p w14:paraId="2A4121BB" w14:textId="77777777" w:rsidR="00164976" w:rsidRPr="00F430F8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10"/>
          <w:szCs w:val="20"/>
          <w:u w:val="single"/>
          <w:lang w:eastAsia="ja-JP"/>
        </w:rPr>
      </w:pPr>
    </w:p>
    <w:p w14:paraId="1FB7CD1D" w14:textId="77777777" w:rsidR="00164976" w:rsidRPr="00CF098F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</w:pPr>
      <w:r w:rsidRPr="00F430F8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Δ</w:t>
      </w:r>
      <w:r w:rsidR="0065629C" w:rsidRPr="00CF098F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ιύλιση</w:t>
      </w:r>
      <w:r w:rsidRPr="00CF098F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, Ε</w:t>
      </w:r>
      <w:r w:rsidR="0065629C" w:rsidRPr="00CF098F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φοδιασμός</w:t>
      </w:r>
      <w:r w:rsidRPr="00CF098F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 xml:space="preserve"> &amp; Ε</w:t>
      </w:r>
      <w:r w:rsidR="0065629C" w:rsidRPr="00CF098F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μπορία</w:t>
      </w:r>
    </w:p>
    <w:p w14:paraId="6944A4A1" w14:textId="59BCD29B" w:rsidR="0012589A" w:rsidRPr="00BB7A8D" w:rsidRDefault="004F687A" w:rsidP="0012589A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  <w:r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Τ</w:t>
      </w:r>
      <w:r w:rsidR="00164976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α Συγκρίσιμα Κέρδη </w:t>
      </w:r>
      <w:r w:rsidR="00164976" w:rsidRPr="004F687A">
        <w:rPr>
          <w:rFonts w:ascii="The Wave Sans TT" w:eastAsia="PMingLiU" w:hAnsi="The Wave Sans TT" w:cs="Arial"/>
          <w:snapToGrid w:val="0"/>
          <w:sz w:val="20"/>
          <w:szCs w:val="20"/>
          <w:lang w:val="en-US" w:eastAsia="ja-JP"/>
        </w:rPr>
        <w:t>EBITDA</w:t>
      </w:r>
      <w:r w:rsidR="00164976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του κλάδου Διύλισης, Εφοδιασμού και Εμπορίας</w:t>
      </w:r>
      <w:r w:rsidR="00F95BBE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164976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ανήλθαν στα €</w:t>
      </w:r>
      <w:r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2</w:t>
      </w:r>
      <w:r w:rsidR="009128B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3</w:t>
      </w:r>
      <w:r w:rsidR="00847A0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6</w:t>
      </w:r>
      <w:r w:rsidR="00164976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</w:t>
      </w:r>
      <w:r w:rsidR="00CF098F" w:rsidRPr="004F687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, 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για το Δ’ Τρίμηνο και στα €1.04</w:t>
      </w:r>
      <w:r w:rsidR="00847A0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3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 για το σύνολο του 2023, </w:t>
      </w:r>
      <w:r w:rsidR="00CF098F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επικουρούμενα από τα </w:t>
      </w:r>
      <w:r w:rsidR="00F167CA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υψηλά </w:t>
      </w:r>
      <w:r w:rsidR="00CF098F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περιθώρια διύλισης, </w:t>
      </w:r>
      <w:r w:rsidR="001405B9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τ</w:t>
      </w:r>
      <w:r w:rsidR="00CF098F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ην υπεραπόδοση του συστήματος</w:t>
      </w:r>
      <w:r w:rsidR="001405B9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και τις αυξημένες πωλήσεις 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(+8% για το 2023)</w:t>
      </w:r>
      <w:r w:rsidR="00E13F2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1405B9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λόγω υψηλής διαθεσιμότητας των </w:t>
      </w:r>
      <w:r w:rsidR="00DF5D35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3 διυλιστηρίων το</w:t>
      </w:r>
      <w:r w:rsidR="0003689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υ</w:t>
      </w:r>
      <w:r w:rsidR="00DF5D35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Ομίλου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. Το ποσοστό των εξαγωγών στο σύνολο των πωλήσεων αυξήθηκε στο 54% για το 2023 από 49% το 2022.</w:t>
      </w:r>
    </w:p>
    <w:p w14:paraId="096C9F31" w14:textId="77777777" w:rsidR="0012589A" w:rsidRPr="00BB7A8D" w:rsidRDefault="00164976" w:rsidP="000A7934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10"/>
          <w:szCs w:val="20"/>
          <w:lang w:eastAsia="ja-JP"/>
        </w:rPr>
      </w:pP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Η παραγωγή προϊόντων ανήλθε στους 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16,2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 τόνους</w:t>
      </w:r>
      <w:r w:rsidR="006A0A13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, 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+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14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% σε σχέση με την αντίστοιχη περίοδο του 2022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 ενώ η συνεισφορά των υψηλής προστιθέμενης αξίας προϊόντων στο μείγμα παραγωγής ξεπέρασε το 80%.</w:t>
      </w:r>
    </w:p>
    <w:p w14:paraId="2723C117" w14:textId="77777777" w:rsidR="00BB7A8D" w:rsidRPr="00BB7A8D" w:rsidRDefault="00BB7A8D" w:rsidP="00BB7A8D">
      <w:pPr>
        <w:widowControl w:val="0"/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10"/>
          <w:szCs w:val="20"/>
          <w:lang w:eastAsia="ja-JP"/>
        </w:rPr>
      </w:pPr>
    </w:p>
    <w:p w14:paraId="21B3623A" w14:textId="77777777" w:rsidR="00164976" w:rsidRPr="006F2384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20"/>
          <w:szCs w:val="20"/>
          <w:lang w:val="en-US" w:eastAsia="ja-JP"/>
        </w:rPr>
      </w:pPr>
      <w:r w:rsidRPr="00F430F8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Π</w:t>
      </w:r>
      <w:r w:rsidR="0065629C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ετροχημικά</w:t>
      </w:r>
    </w:p>
    <w:p w14:paraId="79CC20DC" w14:textId="79457E5A" w:rsidR="00164976" w:rsidRDefault="00164976" w:rsidP="000A47AC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Τα Συγκρίσιμα Κέρδη EBITDA του κλάδου Πετροχημικών διαμορφώθηκαν </w:t>
      </w:r>
      <w:r w:rsidR="00241C5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στα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€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43 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εκατ.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το 2023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BB7A8D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μειωμένα σε σχέση με το 2022 λόγω των χαμηλών</w:t>
      </w:r>
      <w:r w:rsidR="00F167CA"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περιθωρίων </w:t>
      </w:r>
      <w:r w:rsidRPr="00BB7A8D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πολυπροπυλενίου.</w:t>
      </w:r>
    </w:p>
    <w:p w14:paraId="7A0D3781" w14:textId="77777777" w:rsidR="007E6208" w:rsidRPr="00BB7A8D" w:rsidRDefault="007E6208" w:rsidP="007E6208">
      <w:pPr>
        <w:widowControl w:val="0"/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</w:p>
    <w:p w14:paraId="2715974D" w14:textId="77777777" w:rsidR="000A47AC" w:rsidRPr="00F430F8" w:rsidRDefault="000A47AC" w:rsidP="000A47AC">
      <w:pPr>
        <w:widowControl w:val="0"/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10"/>
          <w:szCs w:val="20"/>
          <w:lang w:eastAsia="ja-JP"/>
        </w:rPr>
      </w:pPr>
    </w:p>
    <w:p w14:paraId="025A36B9" w14:textId="77777777" w:rsidR="00164976" w:rsidRPr="0001475A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</w:pPr>
      <w:r w:rsidRPr="0001475A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Ε</w:t>
      </w:r>
      <w:r w:rsidR="0065629C" w:rsidRPr="0001475A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μπορία</w:t>
      </w:r>
    </w:p>
    <w:p w14:paraId="59F21133" w14:textId="60813AA9" w:rsidR="00164976" w:rsidRPr="00FA6F81" w:rsidRDefault="00C46560" w:rsidP="000A47AC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color w:val="FF0000"/>
          <w:sz w:val="20"/>
          <w:szCs w:val="20"/>
          <w:lang w:eastAsia="ja-JP"/>
        </w:rPr>
      </w:pPr>
      <w:r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Παρά τη μικρή μείωση των συνολικών όγκων </w:t>
      </w:r>
      <w:r w:rsidR="00780507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πωλήσεων στον </w:t>
      </w:r>
      <w:r w:rsidR="00164976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κλάδο της Εγχώριας Εμπορίας</w:t>
      </w:r>
      <w:r w:rsidR="00780507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BB7A8D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τ</w:t>
      </w:r>
      <w:r w:rsidR="00780507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ο 2023</w:t>
      </w:r>
      <w:r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BB7A8D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κατά 2%, </w:t>
      </w:r>
      <w:r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οι</w:t>
      </w:r>
      <w:r w:rsidR="006B64C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4422BB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πωλήσε</w:t>
      </w:r>
      <w:r w:rsidR="00780507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ις</w:t>
      </w:r>
      <w:r w:rsidR="004422BB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καυσίμων κίνησης</w:t>
      </w:r>
      <w:r w:rsidR="006B64C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κατέγραψαν αύ</w:t>
      </w:r>
      <w:r w:rsidR="006B64C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ξηση 4%</w:t>
      </w:r>
      <w:r w:rsidR="003A16D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6B64C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με βελτίωση των μεριδίων αγοράς</w:t>
      </w:r>
      <w:r w:rsidR="009128B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 ενώ αυξημένη ήταν η συνεισφορά από τα διαφοροποιημένα καύσιμα</w:t>
      </w:r>
      <w:r w:rsidR="006B64CC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. Παράλληλα, οι πωλήσεις καυσίμων αεροπορίας και ναυτιλίας αυξήθηκαν κατά 2% και 1% αντίστοιχα</w:t>
      </w:r>
      <w:r w:rsidR="00164976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. 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Εξαιρουμένης</w:t>
      </w:r>
      <w:r w:rsidR="0003689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της επίδρασης από την αποτίμηση αποθεμάτων και τον χρονισμό τιμολόγησης στα καύσιμα αεροπορίας, η κερδοφορία διαμορφώθηκε </w:t>
      </w:r>
      <w:r w:rsidR="00CE4464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σε παρόμοια επίπεδα </w:t>
      </w:r>
      <w:r w:rsidR="00847A0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με το προηγούμενο έτος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, με τους </w:t>
      </w:r>
      <w:r w:rsidR="0001475A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κανονιστικο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ύς </w:t>
      </w:r>
      <w:r w:rsidR="00164976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περιορισμο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ύς</w:t>
      </w:r>
      <w:r w:rsidR="0001475A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336981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σ</w:t>
      </w:r>
      <w:r w:rsidR="00164976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το μεικτό περιθώριο</w:t>
      </w:r>
      <w:r w:rsidR="00336981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λιανικής </w:t>
      </w:r>
      <w:r w:rsidR="00D47F42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να </w:t>
      </w:r>
      <w:r w:rsidR="0001475A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παραμένουν σε ισχύ</w:t>
      </w:r>
      <w:r w:rsidR="00164976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.</w:t>
      </w:r>
      <w:r w:rsidR="00336981" w:rsidRPr="00D47F42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</w:p>
    <w:p w14:paraId="368AC1FF" w14:textId="77777777" w:rsidR="00164976" w:rsidRPr="006400EA" w:rsidRDefault="00164976" w:rsidP="000A47AC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lastRenderedPageBreak/>
        <w:t xml:space="preserve">Ο κλάδος της Διεθνούς Εμπορίας το 2023 κατέγραψε </w:t>
      </w:r>
      <w:r w:rsidR="003672D0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αυξημένους όγκους πωλήσεων 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κατά το Δ’ Τρίμηνο και το σύνολο του </w:t>
      </w:r>
      <w:r w:rsidR="003672D0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2023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 με την κερδοφορία να υποχωρεί ελαφρώς</w:t>
      </w:r>
      <w:r w:rsidR="00A1472B" w:rsidRPr="0099596B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λόγω </w:t>
      </w:r>
      <w:r w:rsidR="00CF2C99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της επίδρασης </w:t>
      </w:r>
      <w:r w:rsidR="00E80D50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χαμηλότερων </w:t>
      </w:r>
      <w:r w:rsidR="00780507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περιθωρίων</w:t>
      </w:r>
      <w:r w:rsidR="00E80D50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σε ορισμένες αγορές.</w:t>
      </w:r>
      <w:r w:rsidR="00CF2C99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 </w:t>
      </w:r>
    </w:p>
    <w:p w14:paraId="044136C5" w14:textId="77777777" w:rsidR="00B74981" w:rsidRDefault="00B74981" w:rsidP="00164976">
      <w:pPr>
        <w:widowControl w:val="0"/>
        <w:adjustRightInd w:val="0"/>
        <w:snapToGrid w:val="0"/>
        <w:spacing w:after="120"/>
        <w:ind w:right="-199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10"/>
          <w:szCs w:val="20"/>
          <w:lang w:eastAsia="ja-JP"/>
        </w:rPr>
      </w:pPr>
    </w:p>
    <w:p w14:paraId="54DEE2F4" w14:textId="77777777" w:rsidR="00036892" w:rsidRPr="00F430F8" w:rsidRDefault="00036892" w:rsidP="00164976">
      <w:pPr>
        <w:widowControl w:val="0"/>
        <w:adjustRightInd w:val="0"/>
        <w:snapToGrid w:val="0"/>
        <w:spacing w:after="120"/>
        <w:ind w:right="-199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10"/>
          <w:szCs w:val="20"/>
          <w:lang w:eastAsia="ja-JP"/>
        </w:rPr>
      </w:pPr>
    </w:p>
    <w:p w14:paraId="05B59E1C" w14:textId="77777777" w:rsidR="00164976" w:rsidRPr="00F430F8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</w:pPr>
      <w:r w:rsidRPr="00F430F8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ΑΠΕ</w:t>
      </w:r>
    </w:p>
    <w:p w14:paraId="237F4821" w14:textId="42574574" w:rsidR="00164976" w:rsidRPr="006400EA" w:rsidRDefault="00164976" w:rsidP="000A47AC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</w:pPr>
      <w:r w:rsidRPr="00987BB8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Η υψηλότερ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η εγκατεστημένη ισχύς ΑΠΕ (3</w:t>
      </w:r>
      <w:r w:rsidR="00C166D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56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val="en-US" w:eastAsia="ja-JP"/>
        </w:rPr>
        <w:t>MW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)</w:t>
      </w:r>
      <w:r w:rsidR="00C166D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οδήγησε σε αυξημένη παραγωγή ηλεκτρικής ενέργειας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κατά 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8</w:t>
      </w:r>
      <w:r w:rsidR="00C166D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%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το Δ’ Τρίμηνο 2023 και </w:t>
      </w:r>
      <w:r w:rsidR="00620A1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κατά 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39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% για το σύνολο του έτους,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με τα Συγκρίσιμα Κέρδη 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val="en-US" w:eastAsia="ja-JP"/>
        </w:rPr>
        <w:t>EBITDA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να ανέρχονται στα €</w:t>
      </w:r>
      <w:r w:rsidR="002F2920" w:rsidRPr="002F292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8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 </w:t>
      </w:r>
      <w:r w:rsidR="00620A1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για το Δ’ Τρίμηνο 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και </w:t>
      </w:r>
      <w:r w:rsidR="00FF75D5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σε 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€4</w:t>
      </w:r>
      <w:r w:rsidR="002F2920" w:rsidRPr="002F292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2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 (+</w:t>
      </w:r>
      <w:r w:rsidR="006400EA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4</w:t>
      </w:r>
      <w:r w:rsidR="002F2920" w:rsidRPr="006A4184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4</w:t>
      </w:r>
      <w:r w:rsidR="00987BB8"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%)</w:t>
      </w:r>
      <w:r w:rsidR="00620A1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για το σύνολο του 2023</w:t>
      </w:r>
      <w:r w:rsidRPr="006400EA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.  </w:t>
      </w:r>
    </w:p>
    <w:p w14:paraId="64FED70E" w14:textId="77777777" w:rsidR="00164976" w:rsidRPr="00F430F8" w:rsidRDefault="00164976" w:rsidP="000A47AC">
      <w:pPr>
        <w:widowControl w:val="0"/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sz w:val="10"/>
          <w:szCs w:val="20"/>
          <w:lang w:eastAsia="ja-JP"/>
        </w:rPr>
      </w:pPr>
    </w:p>
    <w:p w14:paraId="1F8D0F5A" w14:textId="77777777" w:rsidR="00164976" w:rsidRPr="00CB638A" w:rsidRDefault="00164976" w:rsidP="000A47AC">
      <w:pPr>
        <w:widowControl w:val="0"/>
        <w:adjustRightInd w:val="0"/>
        <w:snapToGrid w:val="0"/>
        <w:spacing w:after="120"/>
        <w:ind w:right="23"/>
        <w:jc w:val="both"/>
        <w:textAlignment w:val="baseline"/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</w:pPr>
      <w:r w:rsidRPr="00CB638A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Σ</w:t>
      </w:r>
      <w:r w:rsidR="0065629C" w:rsidRPr="00CB638A">
        <w:rPr>
          <w:rFonts w:ascii="The Wave Sans TT" w:eastAsia="PMingLiU" w:hAnsi="The Wave Sans TT" w:cs="Arial"/>
          <w:b/>
          <w:snapToGrid w:val="0"/>
          <w:sz w:val="20"/>
          <w:szCs w:val="20"/>
          <w:lang w:eastAsia="ja-JP"/>
        </w:rPr>
        <w:t>υμμετοχές</w:t>
      </w:r>
    </w:p>
    <w:p w14:paraId="0192AC51" w14:textId="77777777" w:rsidR="00B85150" w:rsidRPr="00FA6F81" w:rsidRDefault="00C166DA" w:rsidP="00137102">
      <w:pPr>
        <w:widowControl w:val="0"/>
        <w:numPr>
          <w:ilvl w:val="0"/>
          <w:numId w:val="8"/>
        </w:numPr>
        <w:adjustRightInd w:val="0"/>
        <w:snapToGrid w:val="0"/>
        <w:spacing w:after="120"/>
        <w:ind w:left="360" w:right="23"/>
        <w:jc w:val="both"/>
        <w:textAlignment w:val="baseline"/>
        <w:rPr>
          <w:rFonts w:ascii="The Wave Sans TT" w:eastAsia="PMingLiU" w:hAnsi="The Wave Sans TT" w:cs="Arial"/>
          <w:snapToGrid w:val="0"/>
          <w:color w:val="FF0000"/>
          <w:sz w:val="20"/>
          <w:szCs w:val="20"/>
          <w:lang w:eastAsia="ja-JP"/>
        </w:rPr>
      </w:pPr>
      <w:r w:rsidRPr="001D065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Η συνεισφορά των κοινοπραξιών και συγγενών επιχειρήσεων που ενοποιούνται με τη μέθοδο της καθαρής θέσης</w:t>
      </w:r>
      <w:r w:rsidR="00780507" w:rsidRPr="001D065F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στον κλάδο</w:t>
      </w:r>
      <w:r w:rsidR="00780507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ηλεκτρισμού και </w:t>
      </w:r>
      <w:r w:rsidR="00C4656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φυσικού αερίου</w:t>
      </w:r>
      <w:r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344581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για το σύνολο του 2023 ανήλθε σε €1</w:t>
      </w:r>
      <w:r w:rsidR="00C4656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8</w:t>
      </w:r>
      <w:r w:rsidR="00344581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εκατ., </w:t>
      </w:r>
      <w:r w:rsidR="00A1472B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υποχωρώντας</w:t>
      </w:r>
      <w:r w:rsidR="00A1472B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</w:t>
      </w:r>
      <w:r w:rsidR="00344581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σε σχέση με το 2022.</w:t>
      </w:r>
      <w:r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Συγκεκριμένα, α) η κερδοφορία της </w:t>
      </w:r>
      <w:proofErr w:type="spellStart"/>
      <w:r w:rsidRPr="00344581">
        <w:rPr>
          <w:rFonts w:ascii="The Wave Sans TT" w:eastAsia="PMingLiU" w:hAnsi="The Wave Sans TT" w:cs="Arial"/>
          <w:snapToGrid w:val="0"/>
          <w:sz w:val="20"/>
          <w:szCs w:val="20"/>
          <w:lang w:val="en-US" w:eastAsia="ja-JP"/>
        </w:rPr>
        <w:t>Elpedison</w:t>
      </w:r>
      <w:proofErr w:type="spellEnd"/>
      <w:r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επηρεάστηκε αρνητικά</w:t>
      </w:r>
      <w:r w:rsidR="00CF2C99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από τη μειωμένη διαθεσιμότητα του εργοστασίου της </w:t>
      </w:r>
      <w:proofErr w:type="spellStart"/>
      <w:r w:rsidR="00CF2C99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Θίσβης</w:t>
      </w:r>
      <w:proofErr w:type="spellEnd"/>
      <w:r w:rsidR="00755860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,</w:t>
      </w:r>
      <w:r w:rsidR="00CF2C99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ενώ </w:t>
      </w:r>
      <w:r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β) η συνεισφορά της ΔΕΠΑ</w:t>
      </w:r>
      <w:r w:rsidR="002C66AC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επηρεάστηκε</w:t>
      </w:r>
      <w:r w:rsidR="00EB0A2C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από </w:t>
      </w:r>
      <w:r w:rsidR="00C4656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τη </w:t>
      </w:r>
      <w:r w:rsidR="00EB0A2C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χαμηλότερη ζήτηση στην εγχώρια αγορά</w:t>
      </w:r>
      <w:r w:rsidR="00344581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 με συμπίεση των </w:t>
      </w:r>
      <w:r w:rsidR="00C46560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μεικτών </w:t>
      </w:r>
      <w:r w:rsidR="00344581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 xml:space="preserve">περιθωρίων, </w:t>
      </w:r>
      <w:r w:rsidR="008078CC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αλλά και από αυξημένα κόστη για την εξασφάλιση δυναμικότητας στο δίκτυο</w:t>
      </w:r>
      <w:r w:rsidR="00EB0A2C" w:rsidRPr="00344581">
        <w:rPr>
          <w:rFonts w:ascii="The Wave Sans TT" w:eastAsia="PMingLiU" w:hAnsi="The Wave Sans TT" w:cs="Arial"/>
          <w:snapToGrid w:val="0"/>
          <w:sz w:val="20"/>
          <w:szCs w:val="20"/>
          <w:lang w:eastAsia="ja-JP"/>
        </w:rPr>
        <w:t>.</w:t>
      </w:r>
    </w:p>
    <w:p w14:paraId="72E950E0" w14:textId="77777777" w:rsidR="0001475A" w:rsidRDefault="00B85150" w:rsidP="0001475A">
      <w:pPr>
        <w:jc w:val="center"/>
        <w:rPr>
          <w:rFonts w:ascii="The Wave Sans TT" w:eastAsia="PMingLiU" w:hAnsi="The Wave Sans TT" w:cs="Arial"/>
          <w:b/>
          <w:bCs/>
          <w:snapToGrid w:val="0"/>
          <w:sz w:val="20"/>
          <w:szCs w:val="20"/>
          <w:lang w:val="en-US" w:eastAsia="ja-JP"/>
        </w:rPr>
      </w:pPr>
      <w:r w:rsidRPr="007E6208">
        <w:rPr>
          <w:rFonts w:ascii="The Wave Sans TT" w:eastAsia="PMingLiU" w:hAnsi="The Wave Sans TT" w:cs="Arial"/>
          <w:snapToGrid w:val="0"/>
          <w:sz w:val="20"/>
          <w:szCs w:val="20"/>
          <w:lang w:val="en-US" w:eastAsia="ja-JP"/>
        </w:rPr>
        <w:br w:type="page"/>
      </w:r>
      <w:r w:rsidR="0001475A">
        <w:rPr>
          <w:rFonts w:ascii="The Wave Sans TT" w:hAnsi="The Wave Sans TT" w:cs="Arial"/>
          <w:b/>
          <w:bCs/>
          <w:sz w:val="20"/>
          <w:szCs w:val="20"/>
          <w:lang w:val="en-US"/>
        </w:rPr>
        <w:lastRenderedPageBreak/>
        <w:t>HELLENiQ ENERGY Holdings A.E.</w:t>
      </w:r>
    </w:p>
    <w:p w14:paraId="7BD09D14" w14:textId="77777777" w:rsidR="0001475A" w:rsidRDefault="0001475A" w:rsidP="0001475A">
      <w:pPr>
        <w:pStyle w:val="BodyTextIndent"/>
        <w:spacing w:before="0" w:beforeAutospacing="0" w:after="0" w:afterAutospacing="0"/>
        <w:jc w:val="center"/>
        <w:rPr>
          <w:rFonts w:ascii="The Wave Sans TT" w:hAnsi="The Wave Sans TT" w:cs="Arial"/>
          <w:b/>
          <w:bCs/>
          <w:sz w:val="20"/>
          <w:szCs w:val="20"/>
        </w:rPr>
      </w:pPr>
      <w:r>
        <w:rPr>
          <w:rFonts w:ascii="The Wave Sans TT" w:hAnsi="The Wave Sans TT" w:cs="Arial"/>
          <w:b/>
          <w:bCs/>
          <w:sz w:val="20"/>
          <w:szCs w:val="20"/>
        </w:rPr>
        <w:t xml:space="preserve">Βασικά μεγέθη ενοποιημένων αποτελεσμάτων Χρήσης </w:t>
      </w:r>
      <w:r w:rsidR="00FA6F81">
        <w:rPr>
          <w:rFonts w:ascii="The Wave Sans TT" w:hAnsi="The Wave Sans TT" w:cs="Arial"/>
          <w:b/>
          <w:bCs/>
          <w:sz w:val="20"/>
          <w:szCs w:val="20"/>
        </w:rPr>
        <w:t>Δ</w:t>
      </w:r>
      <w:r>
        <w:rPr>
          <w:rFonts w:ascii="The Wave Sans TT" w:hAnsi="The Wave Sans TT" w:cs="Arial"/>
          <w:b/>
          <w:bCs/>
          <w:sz w:val="20"/>
          <w:szCs w:val="20"/>
        </w:rPr>
        <w:t xml:space="preserve">’ Τριμήνου / </w:t>
      </w:r>
      <w:r w:rsidR="00FA6F81">
        <w:rPr>
          <w:rFonts w:ascii="The Wave Sans TT" w:hAnsi="The Wave Sans TT" w:cs="Arial"/>
          <w:b/>
          <w:bCs/>
          <w:sz w:val="20"/>
          <w:szCs w:val="20"/>
        </w:rPr>
        <w:t>Έτους</w:t>
      </w:r>
      <w:r>
        <w:rPr>
          <w:rFonts w:ascii="The Wave Sans TT" w:hAnsi="The Wave Sans TT" w:cs="Arial"/>
          <w:b/>
          <w:bCs/>
          <w:sz w:val="20"/>
          <w:szCs w:val="20"/>
        </w:rPr>
        <w:t xml:space="preserve"> 2023</w:t>
      </w:r>
    </w:p>
    <w:p w14:paraId="0D270FD0" w14:textId="77777777" w:rsidR="0001475A" w:rsidRDefault="0001475A" w:rsidP="0001475A">
      <w:pPr>
        <w:pStyle w:val="BodyTextIndent"/>
        <w:spacing w:before="0" w:beforeAutospacing="0" w:after="0" w:afterAutospacing="0"/>
        <w:jc w:val="center"/>
        <w:rPr>
          <w:rFonts w:ascii="The Wave Sans TT" w:hAnsi="The Wave Sans TT" w:cs="Arial"/>
          <w:bCs/>
          <w:sz w:val="20"/>
          <w:szCs w:val="20"/>
        </w:rPr>
      </w:pPr>
      <w:r>
        <w:rPr>
          <w:rFonts w:ascii="The Wave Sans TT" w:hAnsi="The Wave Sans TT" w:cs="Arial"/>
          <w:bCs/>
          <w:sz w:val="20"/>
          <w:szCs w:val="20"/>
        </w:rPr>
        <w:t>(σύμφωνα με τα Διεθνή Πρότυπα Χρηματοοικονομικής Πληροφόρησης)</w:t>
      </w:r>
    </w:p>
    <w:p w14:paraId="2E9668AB" w14:textId="77777777" w:rsidR="0001475A" w:rsidRDefault="0001475A" w:rsidP="0001475A">
      <w:pPr>
        <w:spacing w:before="120" w:after="120" w:line="360" w:lineRule="auto"/>
        <w:ind w:right="187"/>
        <w:rPr>
          <w:rFonts w:ascii="The Wave Sans TT" w:hAnsi="The Wave Sans TT" w:cs="Arial"/>
          <w:i/>
          <w:iCs/>
          <w:sz w:val="16"/>
          <w:szCs w:val="16"/>
        </w:rPr>
      </w:pPr>
    </w:p>
    <w:tbl>
      <w:tblPr>
        <w:tblW w:w="8640" w:type="dxa"/>
        <w:jc w:val="center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32A0"/>
          <w:insideV w:val="single" w:sz="4" w:space="0" w:color="0032A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853"/>
        <w:gridCol w:w="855"/>
        <w:gridCol w:w="855"/>
        <w:gridCol w:w="855"/>
        <w:gridCol w:w="855"/>
        <w:gridCol w:w="952"/>
      </w:tblGrid>
      <w:tr w:rsidR="0001475A" w14:paraId="08DDE3A9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single" w:sz="4" w:space="0" w:color="000099"/>
              <w:left w:val="single" w:sz="4" w:space="0" w:color="000099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5B3A343F" w14:textId="77777777" w:rsidR="0001475A" w:rsidRDefault="0001475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iCs/>
                <w:sz w:val="20"/>
                <w:szCs w:val="18"/>
                <w:lang w:eastAsia="el-GR"/>
              </w:rPr>
              <w:t>€ εκατ.</w:t>
            </w:r>
          </w:p>
        </w:tc>
        <w:tc>
          <w:tcPr>
            <w:tcW w:w="853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62F343B4" w14:textId="77777777" w:rsidR="0001475A" w:rsidRDefault="00FA6F81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eastAsia="el-GR"/>
              </w:rPr>
              <w:t>4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Q2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eastAsia="el-GR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29794308" w14:textId="77777777" w:rsidR="0001475A" w:rsidRDefault="00FA6F81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eastAsia="el-GR"/>
              </w:rPr>
              <w:t>4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Q23</w:t>
            </w:r>
          </w:p>
        </w:tc>
        <w:tc>
          <w:tcPr>
            <w:tcW w:w="855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2C0D604D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% Δ</w:t>
            </w:r>
          </w:p>
        </w:tc>
        <w:tc>
          <w:tcPr>
            <w:tcW w:w="855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18342E03" w14:textId="77777777" w:rsidR="0001475A" w:rsidRDefault="00FA6F81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FY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2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32A0"/>
            </w:tcBorders>
            <w:shd w:val="clear" w:color="auto" w:fill="0032A0"/>
            <w:vAlign w:val="center"/>
            <w:hideMark/>
          </w:tcPr>
          <w:p w14:paraId="24D5D9DF" w14:textId="77777777" w:rsidR="0001475A" w:rsidRDefault="00FA6F81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FY</w:t>
            </w:r>
            <w:r w:rsidR="0001475A"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23</w:t>
            </w:r>
          </w:p>
        </w:tc>
        <w:tc>
          <w:tcPr>
            <w:tcW w:w="952" w:type="dxa"/>
            <w:tcBorders>
              <w:top w:val="single" w:sz="4" w:space="0" w:color="000099"/>
              <w:left w:val="single" w:sz="4" w:space="0" w:color="0032A0"/>
              <w:bottom w:val="single" w:sz="4" w:space="0" w:color="0032A0"/>
              <w:right w:val="single" w:sz="4" w:space="0" w:color="000099"/>
            </w:tcBorders>
            <w:shd w:val="clear" w:color="auto" w:fill="0032A0"/>
            <w:vAlign w:val="center"/>
            <w:hideMark/>
          </w:tcPr>
          <w:p w14:paraId="3B13FD01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b/>
                <w:bCs/>
                <w:iCs/>
                <w:sz w:val="20"/>
                <w:lang w:val="en-GB" w:eastAsia="el-GR"/>
              </w:rPr>
              <w:t>% Δ</w:t>
            </w:r>
          </w:p>
        </w:tc>
      </w:tr>
      <w:tr w:rsidR="0001475A" w14:paraId="1297E117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single" w:sz="4" w:space="0" w:color="0032A0"/>
              <w:left w:val="single" w:sz="4" w:space="0" w:color="000099"/>
              <w:bottom w:val="nil"/>
              <w:right w:val="nil"/>
            </w:tcBorders>
            <w:shd w:val="clear" w:color="auto" w:fill="E6E6EB"/>
            <w:vAlign w:val="center"/>
            <w:hideMark/>
          </w:tcPr>
          <w:p w14:paraId="43738B22" w14:textId="77777777" w:rsidR="0001475A" w:rsidRDefault="0001475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b/>
                <w:bCs/>
                <w:sz w:val="20"/>
                <w:szCs w:val="18"/>
                <w:lang w:eastAsia="el-GR"/>
              </w:rPr>
              <w:t>Στοιχεία αποτελεσμάτων</w:t>
            </w:r>
          </w:p>
        </w:tc>
        <w:tc>
          <w:tcPr>
            <w:tcW w:w="853" w:type="dxa"/>
            <w:tcBorders>
              <w:top w:val="single" w:sz="4" w:space="0" w:color="0032A0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42AD6ECB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single" w:sz="4" w:space="0" w:color="0032A0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12803A9D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single" w:sz="4" w:space="0" w:color="0032A0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5C555CD8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single" w:sz="4" w:space="0" w:color="0032A0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51D7B311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single" w:sz="4" w:space="0" w:color="0032A0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5AFD82E4" w14:textId="77777777" w:rsidR="0001475A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  <w:tc>
          <w:tcPr>
            <w:tcW w:w="952" w:type="dxa"/>
            <w:tcBorders>
              <w:top w:val="single" w:sz="4" w:space="0" w:color="0032A0"/>
              <w:left w:val="nil"/>
              <w:bottom w:val="nil"/>
              <w:right w:val="single" w:sz="4" w:space="0" w:color="000099"/>
            </w:tcBorders>
            <w:shd w:val="clear" w:color="auto" w:fill="E6E6EB"/>
          </w:tcPr>
          <w:p w14:paraId="4A935E5D" w14:textId="77777777" w:rsidR="0001475A" w:rsidRDefault="0001475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</w:p>
        </w:tc>
      </w:tr>
      <w:tr w:rsidR="00C4681A" w14:paraId="17430203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67A2F7E2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Όγκοι πωλήσεων Διύλισης (χιλ. ΜΤ)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92B5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3</w:t>
            </w:r>
            <w:r>
              <w:rPr>
                <w:rFonts w:ascii="The Wave Sans TT" w:hAnsi="The Wave Sans TT" w:cs="Arial"/>
                <w:sz w:val="20"/>
                <w:lang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685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2263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3</w:t>
            </w: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956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51AE4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7</w:t>
            </w:r>
            <w:r w:rsidRPr="002C285A">
              <w:rPr>
                <w:rFonts w:ascii="The Wave Sans TT" w:hAnsi="The Wave Sans TT" w:cs="Arial"/>
                <w:sz w:val="20"/>
                <w:lang w:eastAsia="el-GR"/>
              </w:rPr>
              <w:t>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5805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14</w:t>
            </w:r>
            <w:r>
              <w:rPr>
                <w:rFonts w:ascii="The Wave Sans TT" w:hAnsi="The Wave Sans TT" w:cs="Arial"/>
                <w:sz w:val="20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284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EA4B1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15</w:t>
            </w:r>
            <w:r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4</w:t>
            </w:r>
            <w:r w:rsidR="006430B8">
              <w:rPr>
                <w:rFonts w:ascii="The Wave Sans TT" w:hAnsi="The Wave Sans TT" w:cs="Arial"/>
                <w:sz w:val="20"/>
                <w:szCs w:val="18"/>
                <w:lang w:eastAsia="el-GR"/>
              </w:rPr>
              <w:t>38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5810CADA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8</w:t>
            </w:r>
            <w:r w:rsidRPr="002C285A">
              <w:rPr>
                <w:rFonts w:ascii="The Wave Sans TT" w:hAnsi="The Wave Sans TT" w:cs="Arial"/>
                <w:bCs/>
                <w:iCs/>
                <w:sz w:val="20"/>
                <w:lang w:eastAsia="el-GR"/>
              </w:rPr>
              <w:t>%</w:t>
            </w:r>
          </w:p>
        </w:tc>
      </w:tr>
      <w:tr w:rsidR="00C4681A" w14:paraId="2742F372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00B0E763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Πωλήσεις</w:t>
            </w:r>
            <w:r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8095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3</w:t>
            </w:r>
            <w:r>
              <w:rPr>
                <w:rFonts w:ascii="The Wave Sans TT" w:hAnsi="The Wave Sans TT" w:cs="Arial"/>
                <w:sz w:val="20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542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8FC7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3</w:t>
            </w:r>
            <w:r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304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67463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-7%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BC6CE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14</w:t>
            </w:r>
            <w:r>
              <w:rPr>
                <w:rFonts w:ascii="The Wave Sans TT" w:hAnsi="The Wave Sans TT" w:cs="Arial"/>
                <w:sz w:val="20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lang w:val="en-US" w:eastAsia="el-GR"/>
              </w:rPr>
              <w:t>508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69DF2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12</w:t>
            </w:r>
            <w:r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.</w:t>
            </w:r>
            <w:r w:rsidRPr="002C285A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803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25862B97" w14:textId="77777777" w:rsidR="00C4681A" w:rsidRPr="002C285A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eastAsia="el-GR"/>
              </w:rPr>
            </w:pPr>
            <w:r w:rsidRPr="002C285A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-12%</w:t>
            </w:r>
          </w:p>
        </w:tc>
      </w:tr>
      <w:tr w:rsidR="00C4681A" w14:paraId="48C3DEE7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4E82255B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EBITDA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FFA72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149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7DC9A" w14:textId="77777777" w:rsidR="00C4681A" w:rsidRPr="00B41417" w:rsidRDefault="00E0603C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147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DD15" w14:textId="77777777" w:rsidR="00C4681A" w:rsidRPr="00B41417" w:rsidRDefault="00B41417" w:rsidP="00C4681A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-1%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C3FFF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1.717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23E2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1.0</w:t>
            </w:r>
            <w:r w:rsidR="00B41417"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36ED4D86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-3</w:t>
            </w:r>
            <w:r w:rsidR="00B41417"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9</w:t>
            </w: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%</w:t>
            </w:r>
          </w:p>
        </w:tc>
      </w:tr>
      <w:tr w:rsidR="00C4681A" w14:paraId="23195C65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1D4B19DD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  <w:t xml:space="preserve">Συγκρίσιμα EBITDA </w:t>
            </w:r>
            <w:r>
              <w:rPr>
                <w:rFonts w:ascii="The Wave Sans TT" w:hAnsi="The Wave Sans TT" w:cs="Arial"/>
                <w:b/>
                <w:sz w:val="20"/>
                <w:szCs w:val="18"/>
                <w:vertAlign w:val="superscript"/>
                <w:lang w:eastAsia="el-G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BF3DF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lang w:val="en-US" w:eastAsia="el-GR"/>
              </w:rPr>
              <w:t>465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7A1E1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  <w:t>2</w:t>
            </w:r>
            <w:r w:rsidR="00B41417" w:rsidRPr="00B41417"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A15D9" w14:textId="77777777" w:rsidR="00C4681A" w:rsidRPr="00B41417" w:rsidRDefault="00C4681A" w:rsidP="00C4681A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lang w:val="en-US" w:eastAsia="el-GR"/>
              </w:rPr>
              <w:t>-42%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E8E5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1.601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76278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  <w:t>1.23</w:t>
            </w:r>
            <w:r w:rsidR="00B41417" w:rsidRPr="00B41417"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1DE98829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-23%</w:t>
            </w:r>
          </w:p>
        </w:tc>
      </w:tr>
      <w:tr w:rsidR="00C4681A" w14:paraId="48FB208F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1EFA5DD1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Λειτουργικό Αποτέλεσμα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DED93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FE14B" w14:textId="77777777" w:rsidR="00C4681A" w:rsidRPr="00B41417" w:rsidRDefault="00B41417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lang w:val="en-US" w:eastAsia="el-GR"/>
              </w:rPr>
            </w:pPr>
            <w:r>
              <w:rPr>
                <w:rFonts w:ascii="The Wave Sans TT" w:hAnsi="The Wave Sans TT" w:cs="Arial"/>
                <w:sz w:val="20"/>
                <w:lang w:val="en-US" w:eastAsia="el-GR"/>
              </w:rP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2B943" w14:textId="77777777" w:rsidR="00C4681A" w:rsidRPr="00B41417" w:rsidRDefault="00B41417" w:rsidP="00C4681A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he Wave Sans TT" w:hAnsi="The Wave Sans TT" w:cs="Arial"/>
                <w:sz w:val="20"/>
                <w:lang w:val="en-US" w:eastAsia="el-GR"/>
              </w:rPr>
            </w:pPr>
            <w:r>
              <w:rPr>
                <w:rFonts w:ascii="The Wave Sans TT" w:hAnsi="The Wave Sans TT" w:cs="Arial"/>
                <w:sz w:val="20"/>
                <w:lang w:val="en-US" w:eastAsia="el-GR"/>
              </w:rPr>
              <w:t>-11%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A0FF7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1.413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33B4B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7</w:t>
            </w:r>
            <w:r w:rsid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15466771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-4</w:t>
            </w:r>
            <w:r w:rsid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8</w:t>
            </w: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%</w:t>
            </w:r>
          </w:p>
        </w:tc>
      </w:tr>
      <w:tr w:rsidR="00C4681A" w14:paraId="60732EFA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651CE4DD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Καθαρά Κέρδη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4E71A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-232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8ABE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</w:t>
            </w:r>
            <w:r w:rsidR="00C46560">
              <w:rPr>
                <w:rFonts w:ascii="The Wave Sans TT" w:hAnsi="The Wave Sans TT" w:cs="Arial"/>
                <w:sz w:val="20"/>
                <w:szCs w:val="18"/>
                <w:lang w:eastAsia="el-G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15AA3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0139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20"/>
                <w:lang w:val="en-US" w:eastAsia="el-GR"/>
              </w:rPr>
              <w:t>890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EB1AA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4</w:t>
            </w:r>
            <w:r w:rsidR="00B41417"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7</w:t>
            </w:r>
            <w:r w:rsidR="00847A08">
              <w:rPr>
                <w:rFonts w:ascii="The Wave Sans TT" w:hAnsi="The Wave Sans TT" w:cs="Arial"/>
                <w:sz w:val="20"/>
                <w:szCs w:val="18"/>
                <w:lang w:eastAsia="el-GR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2BC284F3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Cs/>
                <w:iCs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-4</w:t>
            </w:r>
            <w:r w:rsidR="00847A08">
              <w:rPr>
                <w:rFonts w:ascii="The Wave Sans TT" w:hAnsi="The Wave Sans TT" w:cs="Arial"/>
                <w:bCs/>
                <w:iCs/>
                <w:sz w:val="20"/>
                <w:lang w:eastAsia="el-GR"/>
              </w:rPr>
              <w:t>6</w:t>
            </w:r>
            <w:r w:rsidRPr="00B41417">
              <w:rPr>
                <w:rFonts w:ascii="The Wave Sans TT" w:hAnsi="The Wave Sans TT" w:cs="Arial"/>
                <w:bCs/>
                <w:iCs/>
                <w:sz w:val="20"/>
                <w:lang w:val="en-US" w:eastAsia="el-GR"/>
              </w:rPr>
              <w:t>%</w:t>
            </w:r>
          </w:p>
        </w:tc>
      </w:tr>
      <w:tr w:rsidR="00C4681A" w14:paraId="48A51578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3DDE03DA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  <w:t xml:space="preserve">Συγκρίσιμα Καθαρά Κέρδη </w:t>
            </w:r>
            <w:r>
              <w:rPr>
                <w:rFonts w:ascii="The Wave Sans TT" w:hAnsi="The Wave Sans TT" w:cs="Arial"/>
                <w:b/>
                <w:sz w:val="20"/>
                <w:szCs w:val="18"/>
                <w:vertAlign w:val="superscript"/>
                <w:lang w:eastAsia="el-GR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87E2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lang w:val="en-US" w:eastAsia="el-GR"/>
              </w:rPr>
              <w:t>25</w:t>
            </w:r>
            <w:r w:rsidR="00847A08">
              <w:rPr>
                <w:rFonts w:ascii="The Wave Sans TT" w:hAnsi="The Wave Sans TT" w:cs="Arial"/>
                <w:b/>
                <w:sz w:val="20"/>
                <w:lang w:eastAsia="el-GR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99BA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  <w:t>1</w:t>
            </w:r>
            <w:r w:rsidR="00847A08">
              <w:rPr>
                <w:rFonts w:ascii="The Wave Sans TT" w:hAnsi="The Wave Sans TT" w:cs="Arial"/>
                <w:b/>
                <w:sz w:val="20"/>
                <w:szCs w:val="18"/>
                <w:lang w:eastAsia="el-GR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7059" w14:textId="77777777" w:rsidR="00C4681A" w:rsidRPr="00B41417" w:rsidRDefault="00C4681A" w:rsidP="00C4681A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he Wave Sans TT" w:hAnsi="The Wave Sans TT" w:cs="Arial"/>
                <w:b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sz w:val="20"/>
                <w:lang w:eastAsia="el-GR"/>
              </w:rPr>
              <w:t>-</w:t>
            </w:r>
            <w:r w:rsidRPr="00B41417">
              <w:rPr>
                <w:rFonts w:ascii="The Wave Sans TT" w:hAnsi="The Wave Sans TT" w:cs="Arial"/>
                <w:b/>
                <w:sz w:val="20"/>
                <w:lang w:val="en-US" w:eastAsia="el-GR"/>
              </w:rPr>
              <w:t>57%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093B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1.006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02DD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  <w:t>60</w:t>
            </w:r>
            <w:r w:rsidR="00847A08"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eastAsia="el-GR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11FD9761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iCs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b/>
                <w:bCs/>
                <w:iCs/>
                <w:sz w:val="20"/>
                <w:lang w:val="en-US" w:eastAsia="el-GR"/>
              </w:rPr>
              <w:t>-40%</w:t>
            </w:r>
          </w:p>
        </w:tc>
      </w:tr>
      <w:tr w:rsidR="0001475A" w14:paraId="730B0ED1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shd w:val="clear" w:color="auto" w:fill="E6E6EB"/>
            <w:vAlign w:val="center"/>
            <w:hideMark/>
          </w:tcPr>
          <w:p w14:paraId="0035740A" w14:textId="77777777" w:rsidR="0001475A" w:rsidRDefault="0001475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US" w:eastAsia="el-GR"/>
              </w:rPr>
            </w:pPr>
            <w:r>
              <w:rPr>
                <w:rFonts w:ascii="The Wave Sans TT" w:hAnsi="The Wave Sans TT" w:cs="Arial"/>
                <w:b/>
                <w:bCs/>
                <w:sz w:val="20"/>
                <w:szCs w:val="18"/>
                <w:lang w:eastAsia="el-GR"/>
              </w:rPr>
              <w:t xml:space="preserve">Κύρια Στοιχεία Ισολογισμού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1DB15623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37424087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03B24BAB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6A0DA3AE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val="en-GB"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6E6EB"/>
            <w:vAlign w:val="center"/>
          </w:tcPr>
          <w:p w14:paraId="284D2BC5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val="en-GB" w:eastAsia="el-G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shd w:val="clear" w:color="auto" w:fill="E6E6EB"/>
            <w:vAlign w:val="center"/>
          </w:tcPr>
          <w:p w14:paraId="3394EB13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b/>
                <w:bCs/>
                <w:sz w:val="20"/>
                <w:szCs w:val="18"/>
                <w:lang w:val="en-GB" w:eastAsia="el-GR"/>
              </w:rPr>
            </w:pPr>
          </w:p>
        </w:tc>
      </w:tr>
      <w:tr w:rsidR="00C4681A" w14:paraId="1E36A9B2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0A445CBE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/>
                <w:b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Απασχολούμενα Κεφάλαια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9F64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AC46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D777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4C87F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4.669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C88EE" w14:textId="77777777" w:rsidR="00C4681A" w:rsidRPr="00C46560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4.5</w:t>
            </w:r>
            <w:r w:rsidR="00B41417"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7</w:t>
            </w:r>
            <w:r w:rsidR="00847A08">
              <w:rPr>
                <w:rFonts w:ascii="The Wave Sans TT" w:hAnsi="The Wave Sans TT" w:cs="Arial"/>
                <w:sz w:val="20"/>
                <w:szCs w:val="18"/>
                <w:lang w:eastAsia="el-G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60EDCF4D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-2</w:t>
            </w:r>
            <w:r w:rsidRPr="00B41417">
              <w:rPr>
                <w:rFonts w:ascii="The Wave Sans TT" w:hAnsi="The Wave Sans TT" w:cs="Arial"/>
                <w:sz w:val="20"/>
                <w:lang w:eastAsia="el-GR"/>
              </w:rPr>
              <w:t>%</w:t>
            </w:r>
          </w:p>
        </w:tc>
      </w:tr>
      <w:tr w:rsidR="00C4681A" w14:paraId="1761694C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nil"/>
              <w:right w:val="nil"/>
            </w:tcBorders>
            <w:vAlign w:val="center"/>
            <w:hideMark/>
          </w:tcPr>
          <w:p w14:paraId="3218DAA5" w14:textId="77777777" w:rsidR="00C4681A" w:rsidRDefault="00C4681A" w:rsidP="00C4681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Καθαρός Δανεισμός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C2A1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A0C2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1F80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02FFF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1.942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DE97B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1.627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000099"/>
            </w:tcBorders>
            <w:vAlign w:val="center"/>
            <w:hideMark/>
          </w:tcPr>
          <w:p w14:paraId="4862F518" w14:textId="77777777" w:rsidR="00C4681A" w:rsidRPr="00B41417" w:rsidRDefault="00C4681A" w:rsidP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-16</w:t>
            </w:r>
            <w:r w:rsidRPr="00B41417">
              <w:rPr>
                <w:rFonts w:ascii="The Wave Sans TT" w:hAnsi="The Wave Sans TT" w:cs="Arial"/>
                <w:sz w:val="20"/>
                <w:lang w:eastAsia="el-GR"/>
              </w:rPr>
              <w:t>%</w:t>
            </w:r>
          </w:p>
        </w:tc>
      </w:tr>
      <w:tr w:rsidR="0001475A" w14:paraId="5347975A" w14:textId="77777777" w:rsidTr="00536E8D">
        <w:trPr>
          <w:trHeight w:hRule="exact" w:val="432"/>
          <w:jc w:val="center"/>
        </w:trPr>
        <w:tc>
          <w:tcPr>
            <w:tcW w:w="3415" w:type="dxa"/>
            <w:tcBorders>
              <w:top w:val="nil"/>
              <w:left w:val="single" w:sz="4" w:space="0" w:color="000099"/>
              <w:bottom w:val="single" w:sz="4" w:space="0" w:color="000099"/>
              <w:right w:val="nil"/>
            </w:tcBorders>
            <w:vAlign w:val="center"/>
            <w:hideMark/>
          </w:tcPr>
          <w:p w14:paraId="0F113858" w14:textId="77777777" w:rsidR="0001475A" w:rsidRDefault="0001475A">
            <w:pPr>
              <w:spacing w:after="0" w:line="240" w:lineRule="auto"/>
              <w:rPr>
                <w:rFonts w:ascii="The Wave Sans TT" w:hAnsi="The Wave Sans TT" w:cs="Arial"/>
                <w:bCs/>
                <w:iCs/>
                <w:sz w:val="20"/>
                <w:szCs w:val="18"/>
                <w:lang w:val="en-GB" w:eastAsia="el-GR"/>
              </w:rPr>
            </w:pPr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 xml:space="preserve">Συντελεστής Δανειακής </w:t>
            </w:r>
            <w:proofErr w:type="spellStart"/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>Μόχλευσης</w:t>
            </w:r>
            <w:proofErr w:type="spellEnd"/>
            <w:r>
              <w:rPr>
                <w:rFonts w:ascii="The Wave Sans TT" w:hAnsi="The Wave Sans TT" w:cs="Arial"/>
                <w:sz w:val="20"/>
                <w:szCs w:val="18"/>
                <w:lang w:eastAsia="el-GR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99"/>
              <w:right w:val="nil"/>
            </w:tcBorders>
            <w:vAlign w:val="center"/>
          </w:tcPr>
          <w:p w14:paraId="22AB3022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99"/>
              <w:right w:val="nil"/>
            </w:tcBorders>
            <w:vAlign w:val="center"/>
          </w:tcPr>
          <w:p w14:paraId="1C62499E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99"/>
              <w:right w:val="nil"/>
            </w:tcBorders>
            <w:vAlign w:val="center"/>
          </w:tcPr>
          <w:p w14:paraId="01AEEDE5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99"/>
              <w:right w:val="nil"/>
            </w:tcBorders>
            <w:vAlign w:val="center"/>
            <w:hideMark/>
          </w:tcPr>
          <w:p w14:paraId="2EE92636" w14:textId="77777777" w:rsidR="0001475A" w:rsidRPr="00B41417" w:rsidRDefault="00C4681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eastAsia="el-GR"/>
              </w:rPr>
            </w:pPr>
            <w:r w:rsidRPr="00B41417">
              <w:rPr>
                <w:rFonts w:ascii="The Wave Sans TT" w:hAnsi="The Wave Sans TT" w:cs="Arial"/>
                <w:sz w:val="20"/>
                <w:lang w:val="en-US" w:eastAsia="el-GR"/>
              </w:rPr>
              <w:t>42</w:t>
            </w:r>
            <w:r w:rsidR="0001475A" w:rsidRPr="00B41417">
              <w:rPr>
                <w:rFonts w:ascii="The Wave Sans TT" w:hAnsi="The Wave Sans TT" w:cs="Arial"/>
                <w:sz w:val="20"/>
                <w:lang w:val="en-US" w:eastAsia="el-GR"/>
              </w:rPr>
              <w:t>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99"/>
              <w:right w:val="nil"/>
            </w:tcBorders>
            <w:vAlign w:val="center"/>
            <w:hideMark/>
          </w:tcPr>
          <w:p w14:paraId="416BAC0D" w14:textId="77777777" w:rsidR="0001475A" w:rsidRPr="00B41417" w:rsidRDefault="0001475A">
            <w:pPr>
              <w:spacing w:after="0" w:line="240" w:lineRule="auto"/>
              <w:jc w:val="right"/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</w:pP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3</w:t>
            </w:r>
            <w:r w:rsidR="00C4681A"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6</w:t>
            </w:r>
            <w:r w:rsidRPr="00B41417">
              <w:rPr>
                <w:rFonts w:ascii="The Wave Sans TT" w:hAnsi="The Wave Sans TT" w:cs="Arial"/>
                <w:sz w:val="20"/>
                <w:szCs w:val="18"/>
                <w:lang w:val="en-US" w:eastAsia="el-GR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99"/>
              <w:right w:val="single" w:sz="4" w:space="0" w:color="000099"/>
            </w:tcBorders>
            <w:vAlign w:val="center"/>
            <w:hideMark/>
          </w:tcPr>
          <w:p w14:paraId="5AB455AC" w14:textId="77777777" w:rsidR="0001475A" w:rsidRPr="00B41417" w:rsidRDefault="0001475A">
            <w:pPr>
              <w:pStyle w:val="BlockText"/>
              <w:spacing w:before="120" w:after="120" w:line="360" w:lineRule="auto"/>
              <w:ind w:left="0" w:firstLine="0"/>
              <w:jc w:val="right"/>
              <w:rPr>
                <w:rFonts w:ascii="The Wave Sans TT" w:hAnsi="The Wave Sans TT"/>
                <w:bCs/>
                <w:sz w:val="20"/>
                <w:szCs w:val="20"/>
                <w:vertAlign w:val="superscript"/>
              </w:rPr>
            </w:pPr>
            <w:r w:rsidRPr="00B41417">
              <w:rPr>
                <w:rFonts w:ascii="The Wave Sans TT" w:hAnsi="The Wave Sans TT"/>
                <w:sz w:val="20"/>
                <w:lang w:val="en-US"/>
              </w:rPr>
              <w:t>-</w:t>
            </w:r>
            <w:r w:rsidR="00C4681A" w:rsidRPr="00B41417">
              <w:rPr>
                <w:rFonts w:ascii="The Wave Sans TT" w:hAnsi="The Wave Sans TT"/>
                <w:sz w:val="20"/>
                <w:lang w:val="en-US"/>
              </w:rPr>
              <w:t>6</w:t>
            </w:r>
            <w:r w:rsidRPr="00B41417">
              <w:rPr>
                <w:rFonts w:ascii="The Wave Sans TT" w:hAnsi="The Wave Sans TT"/>
                <w:sz w:val="20"/>
              </w:rPr>
              <w:t xml:space="preserve"> π.μ</w:t>
            </w:r>
            <w:r w:rsidRPr="00B41417">
              <w:rPr>
                <w:rFonts w:ascii="The Wave Sans TT" w:hAnsi="The Wave Sans TT"/>
                <w:sz w:val="20"/>
                <w:vertAlign w:val="superscript"/>
              </w:rPr>
              <w:t>2</w:t>
            </w:r>
            <w:r w:rsidRPr="00B41417">
              <w:rPr>
                <w:rFonts w:ascii="The Wave Sans TT" w:hAnsi="The Wave Sans TT"/>
                <w:bCs/>
                <w:sz w:val="20"/>
                <w:szCs w:val="20"/>
                <w:vertAlign w:val="superscript"/>
              </w:rPr>
              <w:t xml:space="preserve"> 2</w:t>
            </w:r>
          </w:p>
        </w:tc>
      </w:tr>
    </w:tbl>
    <w:p w14:paraId="7C8638CD" w14:textId="77777777" w:rsidR="0001475A" w:rsidRDefault="0001475A" w:rsidP="0001475A">
      <w:pPr>
        <w:spacing w:before="120" w:after="120" w:line="360" w:lineRule="auto"/>
        <w:ind w:right="187"/>
        <w:rPr>
          <w:rFonts w:ascii="The Wave Sans TT" w:hAnsi="The Wave Sans TT" w:cs="Arial"/>
          <w:i/>
          <w:iCs/>
          <w:sz w:val="16"/>
          <w:szCs w:val="16"/>
          <w:lang w:val="en-US"/>
        </w:rPr>
      </w:pPr>
    </w:p>
    <w:p w14:paraId="443DF9E6" w14:textId="77777777" w:rsidR="0001475A" w:rsidRDefault="0001475A" w:rsidP="0001475A">
      <w:pPr>
        <w:spacing w:after="0" w:line="240" w:lineRule="auto"/>
        <w:jc w:val="center"/>
        <w:rPr>
          <w:rFonts w:ascii="The Wave Sans TT" w:hAnsi="The Wave Sans TT" w:cs="Arial"/>
          <w:i/>
          <w:iCs/>
          <w:sz w:val="16"/>
          <w:szCs w:val="16"/>
          <w:lang w:val="en-US"/>
        </w:rPr>
      </w:pPr>
      <w:r>
        <w:rPr>
          <w:rFonts w:ascii="The Wave Sans TT" w:hAnsi="The Wave Sans TT" w:cs="Arial"/>
          <w:i/>
          <w:iCs/>
          <w:sz w:val="16"/>
          <w:szCs w:val="16"/>
          <w:lang w:val="en-US"/>
        </w:rPr>
        <w:t xml:space="preserve"> </w:t>
      </w:r>
    </w:p>
    <w:p w14:paraId="18A8B5EA" w14:textId="77777777" w:rsidR="0001475A" w:rsidRDefault="0001475A" w:rsidP="0001475A">
      <w:pPr>
        <w:spacing w:before="120" w:after="120" w:line="360" w:lineRule="auto"/>
        <w:ind w:right="187"/>
        <w:jc w:val="both"/>
        <w:rPr>
          <w:rFonts w:ascii="Arial" w:hAnsi="Arial" w:cs="Arial"/>
          <w:i/>
          <w:iCs/>
          <w:sz w:val="16"/>
          <w:szCs w:val="16"/>
          <w:vertAlign w:val="subscript"/>
        </w:rPr>
      </w:pPr>
      <w:r>
        <w:rPr>
          <w:rFonts w:ascii="Arial" w:hAnsi="Arial" w:cs="Arial"/>
          <w:i/>
          <w:iCs/>
          <w:sz w:val="16"/>
          <w:szCs w:val="16"/>
        </w:rPr>
        <w:t xml:space="preserve">Σημείωση 1: Αναπροσαρμοσμένα για τις επιπτώσεις από την αποτίμηση των αποθεμάτων, μη λειτουργικών/έκτακτων στοιχείων, καθώς και του λογιστικού χειρισμού του ελλείματος δικαιωμάτων </w:t>
      </w:r>
      <w:r>
        <w:rPr>
          <w:rFonts w:ascii="Arial" w:hAnsi="Arial" w:cs="Arial"/>
          <w:i/>
          <w:iCs/>
          <w:sz w:val="16"/>
          <w:szCs w:val="16"/>
          <w:lang w:val="en-US"/>
        </w:rPr>
        <w:t>CO</w:t>
      </w:r>
      <w:r>
        <w:rPr>
          <w:rFonts w:ascii="Arial" w:hAnsi="Arial" w:cs="Arial"/>
          <w:i/>
          <w:iCs/>
          <w:sz w:val="16"/>
          <w:szCs w:val="16"/>
          <w:vertAlign w:val="subscript"/>
        </w:rPr>
        <w:t>2</w:t>
      </w:r>
    </w:p>
    <w:p w14:paraId="1B577ED1" w14:textId="77777777" w:rsidR="0001475A" w:rsidRDefault="0001475A" w:rsidP="0001475A">
      <w:pPr>
        <w:spacing w:before="120" w:after="120" w:line="360" w:lineRule="auto"/>
        <w:ind w:right="187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Σημείωση 2: π.μ.: ποσοστιαίες μονάδες</w:t>
      </w:r>
    </w:p>
    <w:p w14:paraId="06A8E33C" w14:textId="77777777" w:rsidR="009F011D" w:rsidRDefault="009F011D" w:rsidP="0001475A">
      <w:pPr>
        <w:jc w:val="center"/>
        <w:rPr>
          <w:rFonts w:ascii="The Wave Sans TT" w:hAnsi="The Wave Sans TT" w:cs="Arial"/>
          <w:b/>
          <w:bCs/>
          <w:sz w:val="20"/>
          <w:szCs w:val="18"/>
        </w:rPr>
      </w:pPr>
    </w:p>
    <w:p w14:paraId="182216F8" w14:textId="77777777" w:rsidR="009F011D" w:rsidRDefault="009F011D" w:rsidP="009F011D">
      <w:pPr>
        <w:spacing w:line="360" w:lineRule="auto"/>
        <w:jc w:val="both"/>
        <w:outlineLvl w:val="0"/>
        <w:rPr>
          <w:rFonts w:ascii="The Wave Sans TT" w:hAnsi="The Wave Sans TT" w:cs="Arial"/>
          <w:b/>
          <w:bCs/>
          <w:sz w:val="20"/>
          <w:szCs w:val="18"/>
        </w:rPr>
      </w:pPr>
      <w:r>
        <w:rPr>
          <w:rFonts w:ascii="The Wave Sans TT" w:hAnsi="The Wave Sans TT" w:cs="Arial"/>
          <w:b/>
          <w:bCs/>
          <w:sz w:val="20"/>
          <w:szCs w:val="18"/>
        </w:rPr>
        <w:t>Περισσότερες πληροφορίες:</w:t>
      </w:r>
    </w:p>
    <w:p w14:paraId="6ED7D4F9" w14:textId="77777777" w:rsidR="009F011D" w:rsidRDefault="008C053B" w:rsidP="008C053B">
      <w:pPr>
        <w:spacing w:after="0" w:line="360" w:lineRule="auto"/>
        <w:jc w:val="both"/>
        <w:rPr>
          <w:rFonts w:ascii="The Wave Sans TT" w:hAnsi="The Wave Sans TT" w:cs="Arial"/>
          <w:b/>
          <w:sz w:val="20"/>
          <w:szCs w:val="18"/>
        </w:rPr>
      </w:pPr>
      <w:bookmarkStart w:id="3" w:name="_Hlk144127370"/>
      <w:r w:rsidRPr="008C053B">
        <w:rPr>
          <w:rFonts w:ascii="The Wave Sans TT" w:hAnsi="The Wave Sans TT" w:cs="Arial"/>
          <w:b/>
          <w:sz w:val="20"/>
          <w:szCs w:val="18"/>
        </w:rPr>
        <w:t>Διεύθυνση Σχέσεων με Επενδυτές</w:t>
      </w:r>
    </w:p>
    <w:p w14:paraId="69124D17" w14:textId="77777777" w:rsidR="008C053B" w:rsidRPr="008C053B" w:rsidRDefault="008C053B" w:rsidP="008C053B">
      <w:pPr>
        <w:spacing w:after="0" w:line="360" w:lineRule="auto"/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</w:pPr>
      <w:proofErr w:type="spellStart"/>
      <w:r w:rsidRPr="008C053B"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>Χειμάρρας</w:t>
      </w:r>
      <w:proofErr w:type="spellEnd"/>
      <w:r w:rsidRPr="008C053B"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 xml:space="preserve"> 8A, 151 25 Μαρούσι, Αθήνα</w:t>
      </w:r>
    </w:p>
    <w:p w14:paraId="7E245646" w14:textId="77777777" w:rsidR="009F011D" w:rsidRPr="008C053B" w:rsidRDefault="009F011D" w:rsidP="008C053B">
      <w:pPr>
        <w:widowControl w:val="0"/>
        <w:adjustRightInd w:val="0"/>
        <w:snapToGrid w:val="0"/>
        <w:spacing w:after="0" w:line="360" w:lineRule="auto"/>
        <w:jc w:val="both"/>
        <w:textAlignment w:val="baseline"/>
        <w:rPr>
          <w:rFonts w:ascii="The Wave Sans TT" w:eastAsia="MS Mincho" w:hAnsi="The Wave Sans TT" w:cs="Arial"/>
          <w:snapToGrid w:val="0"/>
          <w:sz w:val="20"/>
          <w:szCs w:val="18"/>
          <w:lang w:val="en-US" w:eastAsia="ja-JP"/>
        </w:rPr>
      </w:pPr>
      <w:proofErr w:type="spellStart"/>
      <w:r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>Τηλ</w:t>
      </w:r>
      <w:proofErr w:type="spellEnd"/>
      <w:r w:rsidRPr="008C053B"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>.: 210-6302</w:t>
      </w:r>
      <w:r w:rsidR="008C053B" w:rsidRPr="008C053B"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>526</w:t>
      </w:r>
      <w:r w:rsidR="008C053B">
        <w:rPr>
          <w:rFonts w:ascii="The Wave Sans TT" w:eastAsia="MS Mincho" w:hAnsi="The Wave Sans TT" w:cs="Arial"/>
          <w:snapToGrid w:val="0"/>
          <w:sz w:val="20"/>
          <w:szCs w:val="18"/>
          <w:lang w:val="en-US" w:eastAsia="ja-JP"/>
        </w:rPr>
        <w:t>, 210-630</w:t>
      </w:r>
      <w:r w:rsidR="00E63453">
        <w:rPr>
          <w:rFonts w:ascii="The Wave Sans TT" w:eastAsia="MS Mincho" w:hAnsi="The Wave Sans TT" w:cs="Arial"/>
          <w:snapToGrid w:val="0"/>
          <w:sz w:val="20"/>
          <w:szCs w:val="18"/>
          <w:lang w:val="en-US" w:eastAsia="ja-JP"/>
        </w:rPr>
        <w:t>2</w:t>
      </w:r>
      <w:r w:rsidR="008C053B">
        <w:rPr>
          <w:rFonts w:ascii="The Wave Sans TT" w:eastAsia="MS Mincho" w:hAnsi="The Wave Sans TT" w:cs="Arial"/>
          <w:snapToGrid w:val="0"/>
          <w:sz w:val="20"/>
          <w:szCs w:val="18"/>
          <w:lang w:val="en-US" w:eastAsia="ja-JP"/>
        </w:rPr>
        <w:t>305</w:t>
      </w:r>
    </w:p>
    <w:p w14:paraId="530EC359" w14:textId="77777777" w:rsidR="009F011D" w:rsidRPr="008C053B" w:rsidRDefault="009F011D" w:rsidP="008C053B">
      <w:pPr>
        <w:widowControl w:val="0"/>
        <w:tabs>
          <w:tab w:val="left" w:pos="720"/>
          <w:tab w:val="left" w:pos="1440"/>
          <w:tab w:val="left" w:pos="2160"/>
          <w:tab w:val="left" w:pos="6030"/>
        </w:tabs>
        <w:adjustRightInd w:val="0"/>
        <w:snapToGrid w:val="0"/>
        <w:spacing w:after="0" w:line="360" w:lineRule="auto"/>
        <w:jc w:val="both"/>
        <w:textAlignment w:val="baseline"/>
        <w:rPr>
          <w:rFonts w:ascii="Arial" w:eastAsia="PMingLiU" w:hAnsi="Arial" w:cs="Arial"/>
          <w:snapToGrid w:val="0"/>
          <w:lang w:eastAsia="ja-JP"/>
        </w:rPr>
      </w:pPr>
      <w:r>
        <w:rPr>
          <w:rFonts w:ascii="The Wave Sans TT" w:eastAsia="MS Mincho" w:hAnsi="The Wave Sans TT" w:cs="Arial"/>
          <w:snapToGrid w:val="0"/>
          <w:sz w:val="20"/>
          <w:szCs w:val="18"/>
          <w:lang w:val="en-US" w:eastAsia="ja-JP"/>
        </w:rPr>
        <w:t>Email</w:t>
      </w:r>
      <w:r w:rsidRPr="008C053B">
        <w:rPr>
          <w:rFonts w:ascii="The Wave Sans TT" w:eastAsia="MS Mincho" w:hAnsi="The Wave Sans TT" w:cs="Arial"/>
          <w:snapToGrid w:val="0"/>
          <w:sz w:val="20"/>
          <w:szCs w:val="18"/>
          <w:lang w:eastAsia="ja-JP"/>
        </w:rPr>
        <w:t>:</w:t>
      </w:r>
      <w:r w:rsidRPr="008C053B">
        <w:rPr>
          <w:rFonts w:ascii="The Wave Sans TT" w:eastAsia="PMingLiU" w:hAnsi="The Wave Sans TT" w:cs="Arial"/>
          <w:snapToGrid w:val="0"/>
          <w:lang w:eastAsia="ja-JP"/>
        </w:rPr>
        <w:t xml:space="preserve"> </w:t>
      </w:r>
      <w:hyperlink r:id="rId8" w:history="1">
        <w:r w:rsidR="008C053B" w:rsidRPr="00222448">
          <w:rPr>
            <w:rStyle w:val="Hyperlink"/>
            <w:rFonts w:ascii="The Wave Sans TT" w:eastAsia="PMingLiU" w:hAnsi="The Wave Sans TT" w:cs="Arial"/>
            <w:snapToGrid w:val="0"/>
            <w:sz w:val="20"/>
            <w:lang w:val="en-US" w:eastAsia="ja-JP"/>
          </w:rPr>
          <w:t>ir</w:t>
        </w:r>
        <w:r w:rsidR="008C053B" w:rsidRPr="008C053B">
          <w:rPr>
            <w:rStyle w:val="Hyperlink"/>
            <w:rFonts w:ascii="The Wave Sans TT" w:eastAsia="PMingLiU" w:hAnsi="The Wave Sans TT" w:cs="Arial"/>
            <w:snapToGrid w:val="0"/>
            <w:sz w:val="20"/>
            <w:lang w:eastAsia="ja-JP"/>
          </w:rPr>
          <w:t>@</w:t>
        </w:r>
        <w:r w:rsidR="008C053B" w:rsidRPr="00222448">
          <w:rPr>
            <w:rStyle w:val="Hyperlink"/>
            <w:rFonts w:ascii="The Wave Sans TT" w:eastAsia="PMingLiU" w:hAnsi="The Wave Sans TT" w:cs="Arial"/>
            <w:snapToGrid w:val="0"/>
            <w:sz w:val="20"/>
            <w:lang w:val="en-US" w:eastAsia="ja-JP"/>
          </w:rPr>
          <w:t>helleniq</w:t>
        </w:r>
        <w:r w:rsidR="008C053B" w:rsidRPr="008C053B">
          <w:rPr>
            <w:rStyle w:val="Hyperlink"/>
            <w:rFonts w:ascii="The Wave Sans TT" w:eastAsia="PMingLiU" w:hAnsi="The Wave Sans TT" w:cs="Arial"/>
            <w:snapToGrid w:val="0"/>
            <w:sz w:val="20"/>
            <w:lang w:eastAsia="ja-JP"/>
          </w:rPr>
          <w:t>.</w:t>
        </w:r>
        <w:r w:rsidR="008C053B" w:rsidRPr="00222448">
          <w:rPr>
            <w:rStyle w:val="Hyperlink"/>
            <w:rFonts w:ascii="The Wave Sans TT" w:eastAsia="PMingLiU" w:hAnsi="The Wave Sans TT" w:cs="Arial"/>
            <w:snapToGrid w:val="0"/>
            <w:sz w:val="20"/>
            <w:lang w:val="en-US" w:eastAsia="ja-JP"/>
          </w:rPr>
          <w:t>gr</w:t>
        </w:r>
      </w:hyperlink>
    </w:p>
    <w:bookmarkEnd w:id="3"/>
    <w:p w14:paraId="78691A59" w14:textId="77777777" w:rsidR="00164976" w:rsidRPr="008C053B" w:rsidRDefault="00164976" w:rsidP="00164976">
      <w:pPr>
        <w:jc w:val="both"/>
      </w:pPr>
    </w:p>
    <w:p w14:paraId="7324D38C" w14:textId="77777777" w:rsidR="00164976" w:rsidRDefault="00164976" w:rsidP="00164976"/>
    <w:p w14:paraId="66D48E94" w14:textId="77777777" w:rsidR="002F2920" w:rsidRPr="008C053B" w:rsidRDefault="002F2920" w:rsidP="00164976"/>
    <w:sectPr w:rsidR="002F2920" w:rsidRPr="008C053B" w:rsidSect="007D0AB6">
      <w:headerReference w:type="default" r:id="rId9"/>
      <w:footerReference w:type="even" r:id="rId10"/>
      <w:footerReference w:type="default" r:id="rId11"/>
      <w:pgSz w:w="11900" w:h="16840"/>
      <w:pgMar w:top="1985" w:right="101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BC4A9" w14:textId="77777777" w:rsidR="009A7693" w:rsidRDefault="009A7693" w:rsidP="008968B8">
      <w:pPr>
        <w:spacing w:after="0" w:line="240" w:lineRule="auto"/>
      </w:pPr>
      <w:r>
        <w:separator/>
      </w:r>
    </w:p>
  </w:endnote>
  <w:endnote w:type="continuationSeparator" w:id="0">
    <w:p w14:paraId="40DA580D" w14:textId="77777777" w:rsidR="009A7693" w:rsidRDefault="009A7693" w:rsidP="0089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he Wave Sans TT">
    <w:altName w:val="Calibri"/>
    <w:charset w:val="A1"/>
    <w:family w:val="auto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2D53C" w14:textId="77777777" w:rsidR="004C53D7" w:rsidRDefault="004C53D7" w:rsidP="002E30AA">
    <w:pPr>
      <w:pStyle w:val="Footer"/>
      <w:framePr w:wrap="none" w:vAnchor="page" w:hAnchor="page" w:yAlign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AFB224E" w14:textId="77777777" w:rsidR="004C53D7" w:rsidRDefault="004C53D7" w:rsidP="005B664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A186F" w14:textId="77777777" w:rsidR="004C53D7" w:rsidRDefault="004C53D7" w:rsidP="007051C6">
    <w:pPr>
      <w:pStyle w:val="Footer"/>
      <w:framePr w:wrap="none" w:vAnchor="page" w:hAnchor="page" w:yAlign="center"/>
      <w:rPr>
        <w:rStyle w:val="PageNumber"/>
      </w:rPr>
    </w:pPr>
  </w:p>
  <w:p w14:paraId="2CD8525C" w14:textId="77777777" w:rsidR="004C53D7" w:rsidRDefault="004C53D7" w:rsidP="002E30AA">
    <w:pPr>
      <w:pStyle w:val="Footer"/>
      <w:ind w:firstLine="360"/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 wp14:anchorId="4110394E" wp14:editId="267346D2">
          <wp:simplePos x="0" y="0"/>
          <wp:positionH relativeFrom="column">
            <wp:posOffset>-986155</wp:posOffset>
          </wp:positionH>
          <wp:positionV relativeFrom="paragraph">
            <wp:posOffset>-1155065</wp:posOffset>
          </wp:positionV>
          <wp:extent cx="7645400" cy="1940560"/>
          <wp:effectExtent l="0" t="0" r="0" b="0"/>
          <wp:wrapNone/>
          <wp:docPr id="13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94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C6CD1" w14:textId="77777777" w:rsidR="004C53D7" w:rsidRDefault="004C53D7" w:rsidP="005B664A">
    <w:pPr>
      <w:pStyle w:val="Footer"/>
      <w:ind w:firstLine="360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70A5D4" wp14:editId="0F96910F">
              <wp:simplePos x="0" y="0"/>
              <wp:positionH relativeFrom="column">
                <wp:posOffset>220345</wp:posOffset>
              </wp:positionH>
              <wp:positionV relativeFrom="paragraph">
                <wp:posOffset>168275</wp:posOffset>
              </wp:positionV>
              <wp:extent cx="2979420" cy="29781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9420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47942A" w14:textId="77777777" w:rsidR="004C53D7" w:rsidRPr="00760ECA" w:rsidRDefault="004C53D7" w:rsidP="004D346D">
                          <w:pPr>
                            <w:rPr>
                              <w:rFonts w:ascii="The Wave Sans TT" w:hAnsi="The Wave Sans TT"/>
                              <w:color w:val="FFFFFF"/>
                              <w:sz w:val="24"/>
                              <w:szCs w:val="24"/>
                            </w:rPr>
                          </w:pPr>
                          <w:r w:rsidRPr="00760ECA">
                            <w:rPr>
                              <w:rFonts w:ascii="The Wave Sans TT" w:eastAsia="Times New Roman" w:hAnsi="The Wave Sans TT"/>
                              <w:b/>
                              <w:bCs/>
                              <w:color w:val="FFFFFF"/>
                              <w:sz w:val="24"/>
                              <w:szCs w:val="24"/>
                              <w:lang w:val="en-US" w:eastAsia="zh-TW" w:bidi="he-IL"/>
                            </w:rPr>
                            <w:t>Empowering Tomorrow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70A5D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17.35pt;margin-top:13.25pt;width:234.6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" filled="f" stroked="f" strokeweight=".5pt">
              <v:textbox>
                <w:txbxContent>
                  <w:p w14:paraId="1E47942A" w14:textId="77777777" w:rsidR="004C53D7" w:rsidRPr="00760ECA" w:rsidRDefault="004C53D7" w:rsidP="004D346D">
                    <w:pPr>
                      <w:rPr>
                        <w:rFonts w:ascii="The Wave Sans TT" w:hAnsi="The Wave Sans TT"/>
                        <w:color w:val="FFFFFF"/>
                        <w:sz w:val="24"/>
                        <w:szCs w:val="24"/>
                      </w:rPr>
                    </w:pPr>
                    <w:r w:rsidRPr="00760ECA">
                      <w:rPr>
                        <w:rFonts w:ascii="The Wave Sans TT" w:eastAsia="Times New Roman" w:hAnsi="The Wave Sans TT"/>
                        <w:b/>
                        <w:bCs/>
                        <w:color w:val="FFFFFF"/>
                        <w:sz w:val="24"/>
                        <w:szCs w:val="24"/>
                        <w:lang w:val="en-US" w:eastAsia="zh-TW" w:bidi="he-IL"/>
                      </w:rPr>
                      <w:t>Empowering Tomorrow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74D19" w14:textId="77777777" w:rsidR="009A7693" w:rsidRDefault="009A7693" w:rsidP="008968B8">
      <w:pPr>
        <w:spacing w:after="0" w:line="240" w:lineRule="auto"/>
      </w:pPr>
      <w:r>
        <w:separator/>
      </w:r>
    </w:p>
  </w:footnote>
  <w:footnote w:type="continuationSeparator" w:id="0">
    <w:p w14:paraId="7B102702" w14:textId="77777777" w:rsidR="009A7693" w:rsidRDefault="009A7693" w:rsidP="0089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BED71" w14:textId="77777777" w:rsidR="004C53D7" w:rsidRDefault="004C53D7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6704" behindDoc="1" locked="0" layoutInCell="1" allowOverlap="1" wp14:anchorId="3346EBB1" wp14:editId="42CCACDC">
          <wp:simplePos x="0" y="0"/>
          <wp:positionH relativeFrom="column">
            <wp:posOffset>-315595</wp:posOffset>
          </wp:positionH>
          <wp:positionV relativeFrom="page">
            <wp:posOffset>546100</wp:posOffset>
          </wp:positionV>
          <wp:extent cx="1985645" cy="571500"/>
          <wp:effectExtent l="0" t="0" r="0" b="0"/>
          <wp:wrapNone/>
          <wp:docPr id="1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0FE70" w14:textId="77777777" w:rsidR="004C53D7" w:rsidRDefault="004C53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DBD"/>
    <w:multiLevelType w:val="hybridMultilevel"/>
    <w:tmpl w:val="5BA08AE0"/>
    <w:lvl w:ilvl="0" w:tplc="A4EC8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568F"/>
    <w:multiLevelType w:val="hybridMultilevel"/>
    <w:tmpl w:val="0C58CD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2C7"/>
    <w:multiLevelType w:val="hybridMultilevel"/>
    <w:tmpl w:val="21FE7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53E0"/>
    <w:multiLevelType w:val="hybridMultilevel"/>
    <w:tmpl w:val="0CC8BE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D0FC4"/>
    <w:multiLevelType w:val="hybridMultilevel"/>
    <w:tmpl w:val="0EF07F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7450E"/>
    <w:multiLevelType w:val="hybridMultilevel"/>
    <w:tmpl w:val="D4EAA988"/>
    <w:lvl w:ilvl="0" w:tplc="37E0FDC4">
      <w:numFmt w:val="bullet"/>
      <w:lvlText w:val="-"/>
      <w:lvlJc w:val="left"/>
      <w:pPr>
        <w:ind w:left="709" w:hanging="360"/>
      </w:pPr>
      <w:rPr>
        <w:rFonts w:ascii="Arial" w:eastAsia="PMingLiU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70CE6793"/>
    <w:multiLevelType w:val="hybridMultilevel"/>
    <w:tmpl w:val="5D6A3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B0C"/>
    <w:multiLevelType w:val="hybridMultilevel"/>
    <w:tmpl w:val="B8DC52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67"/>
    <w:rsid w:val="00005319"/>
    <w:rsid w:val="00006473"/>
    <w:rsid w:val="00011B63"/>
    <w:rsid w:val="0001475A"/>
    <w:rsid w:val="000151DA"/>
    <w:rsid w:val="00017C5A"/>
    <w:rsid w:val="00023818"/>
    <w:rsid w:val="000251C3"/>
    <w:rsid w:val="00027EC3"/>
    <w:rsid w:val="000316C0"/>
    <w:rsid w:val="00031E4B"/>
    <w:rsid w:val="00036892"/>
    <w:rsid w:val="00041E07"/>
    <w:rsid w:val="000447FE"/>
    <w:rsid w:val="00045BAE"/>
    <w:rsid w:val="00045DA4"/>
    <w:rsid w:val="00050101"/>
    <w:rsid w:val="00050D3F"/>
    <w:rsid w:val="00052091"/>
    <w:rsid w:val="00055700"/>
    <w:rsid w:val="00056403"/>
    <w:rsid w:val="00057873"/>
    <w:rsid w:val="0006399E"/>
    <w:rsid w:val="00072461"/>
    <w:rsid w:val="00073246"/>
    <w:rsid w:val="000807B6"/>
    <w:rsid w:val="00083E8E"/>
    <w:rsid w:val="0008645A"/>
    <w:rsid w:val="0009154A"/>
    <w:rsid w:val="000959A7"/>
    <w:rsid w:val="00095EF6"/>
    <w:rsid w:val="000A09F0"/>
    <w:rsid w:val="000A1A79"/>
    <w:rsid w:val="000A1EB2"/>
    <w:rsid w:val="000A38D2"/>
    <w:rsid w:val="000A47AC"/>
    <w:rsid w:val="000A74E8"/>
    <w:rsid w:val="000B1DB1"/>
    <w:rsid w:val="000B676C"/>
    <w:rsid w:val="000C258D"/>
    <w:rsid w:val="000C42FA"/>
    <w:rsid w:val="000C46FB"/>
    <w:rsid w:val="000C5C08"/>
    <w:rsid w:val="000C7119"/>
    <w:rsid w:val="000D258A"/>
    <w:rsid w:val="000E269A"/>
    <w:rsid w:val="000E4899"/>
    <w:rsid w:val="000E5E24"/>
    <w:rsid w:val="000F1D57"/>
    <w:rsid w:val="000F2E9F"/>
    <w:rsid w:val="000F3A96"/>
    <w:rsid w:val="000F4042"/>
    <w:rsid w:val="00101A6D"/>
    <w:rsid w:val="00102CE0"/>
    <w:rsid w:val="00103D8E"/>
    <w:rsid w:val="00105777"/>
    <w:rsid w:val="00114962"/>
    <w:rsid w:val="00117CE9"/>
    <w:rsid w:val="00120142"/>
    <w:rsid w:val="00121281"/>
    <w:rsid w:val="00122A2C"/>
    <w:rsid w:val="0012589A"/>
    <w:rsid w:val="00130927"/>
    <w:rsid w:val="00130DE7"/>
    <w:rsid w:val="00131521"/>
    <w:rsid w:val="001321A7"/>
    <w:rsid w:val="00134A22"/>
    <w:rsid w:val="001401D1"/>
    <w:rsid w:val="001405B9"/>
    <w:rsid w:val="00140773"/>
    <w:rsid w:val="00144177"/>
    <w:rsid w:val="001505E2"/>
    <w:rsid w:val="00152690"/>
    <w:rsid w:val="0015321F"/>
    <w:rsid w:val="001538FD"/>
    <w:rsid w:val="00154120"/>
    <w:rsid w:val="0015511A"/>
    <w:rsid w:val="001607EE"/>
    <w:rsid w:val="0016232F"/>
    <w:rsid w:val="00164976"/>
    <w:rsid w:val="00175DB8"/>
    <w:rsid w:val="00185601"/>
    <w:rsid w:val="00193453"/>
    <w:rsid w:val="0019683E"/>
    <w:rsid w:val="00196B95"/>
    <w:rsid w:val="001A0BEA"/>
    <w:rsid w:val="001A1071"/>
    <w:rsid w:val="001B0784"/>
    <w:rsid w:val="001B3066"/>
    <w:rsid w:val="001B4AD1"/>
    <w:rsid w:val="001B7950"/>
    <w:rsid w:val="001C3307"/>
    <w:rsid w:val="001C36A0"/>
    <w:rsid w:val="001D065F"/>
    <w:rsid w:val="001D7570"/>
    <w:rsid w:val="001D7A9E"/>
    <w:rsid w:val="001E0DF9"/>
    <w:rsid w:val="001E1A8E"/>
    <w:rsid w:val="001E28DF"/>
    <w:rsid w:val="001F0F64"/>
    <w:rsid w:val="001F2391"/>
    <w:rsid w:val="001F4C23"/>
    <w:rsid w:val="001F68A0"/>
    <w:rsid w:val="002039CD"/>
    <w:rsid w:val="00205704"/>
    <w:rsid w:val="00206761"/>
    <w:rsid w:val="00211EC6"/>
    <w:rsid w:val="00212AA8"/>
    <w:rsid w:val="00213083"/>
    <w:rsid w:val="002157F7"/>
    <w:rsid w:val="0021581C"/>
    <w:rsid w:val="00215937"/>
    <w:rsid w:val="002169FD"/>
    <w:rsid w:val="00217325"/>
    <w:rsid w:val="00217AF6"/>
    <w:rsid w:val="002225E4"/>
    <w:rsid w:val="00223E5E"/>
    <w:rsid w:val="00225F4B"/>
    <w:rsid w:val="0022685E"/>
    <w:rsid w:val="00240126"/>
    <w:rsid w:val="00241C5D"/>
    <w:rsid w:val="002430E6"/>
    <w:rsid w:val="00244D3F"/>
    <w:rsid w:val="00246A6E"/>
    <w:rsid w:val="00251780"/>
    <w:rsid w:val="0025695E"/>
    <w:rsid w:val="00257A03"/>
    <w:rsid w:val="00260A35"/>
    <w:rsid w:val="0026228D"/>
    <w:rsid w:val="00263BFD"/>
    <w:rsid w:val="00270F51"/>
    <w:rsid w:val="002756FE"/>
    <w:rsid w:val="00276AB0"/>
    <w:rsid w:val="002857A1"/>
    <w:rsid w:val="00285CDF"/>
    <w:rsid w:val="00290038"/>
    <w:rsid w:val="00290907"/>
    <w:rsid w:val="00291CF8"/>
    <w:rsid w:val="00292EB3"/>
    <w:rsid w:val="0029368C"/>
    <w:rsid w:val="0029475D"/>
    <w:rsid w:val="00295337"/>
    <w:rsid w:val="00297721"/>
    <w:rsid w:val="002A0BF1"/>
    <w:rsid w:val="002A2D05"/>
    <w:rsid w:val="002A2D85"/>
    <w:rsid w:val="002A51B3"/>
    <w:rsid w:val="002A5BC3"/>
    <w:rsid w:val="002A5EB4"/>
    <w:rsid w:val="002A6BFF"/>
    <w:rsid w:val="002B06A3"/>
    <w:rsid w:val="002B0835"/>
    <w:rsid w:val="002B1452"/>
    <w:rsid w:val="002B3151"/>
    <w:rsid w:val="002B54ED"/>
    <w:rsid w:val="002B7C6C"/>
    <w:rsid w:val="002C0BA5"/>
    <w:rsid w:val="002C66AC"/>
    <w:rsid w:val="002C6704"/>
    <w:rsid w:val="002D191C"/>
    <w:rsid w:val="002D2704"/>
    <w:rsid w:val="002D4D80"/>
    <w:rsid w:val="002D709C"/>
    <w:rsid w:val="002D757D"/>
    <w:rsid w:val="002E05C7"/>
    <w:rsid w:val="002E1BF2"/>
    <w:rsid w:val="002E30AA"/>
    <w:rsid w:val="002F19C3"/>
    <w:rsid w:val="002F2251"/>
    <w:rsid w:val="002F2920"/>
    <w:rsid w:val="002F2D85"/>
    <w:rsid w:val="002F4B74"/>
    <w:rsid w:val="00300AA8"/>
    <w:rsid w:val="003054AB"/>
    <w:rsid w:val="00305530"/>
    <w:rsid w:val="00306018"/>
    <w:rsid w:val="003075E1"/>
    <w:rsid w:val="003108FB"/>
    <w:rsid w:val="00311F3F"/>
    <w:rsid w:val="003230ED"/>
    <w:rsid w:val="00324535"/>
    <w:rsid w:val="00325298"/>
    <w:rsid w:val="00325528"/>
    <w:rsid w:val="00325A11"/>
    <w:rsid w:val="00325DEC"/>
    <w:rsid w:val="00327D0D"/>
    <w:rsid w:val="00331B01"/>
    <w:rsid w:val="003326E4"/>
    <w:rsid w:val="00332A99"/>
    <w:rsid w:val="00332BC7"/>
    <w:rsid w:val="003330BF"/>
    <w:rsid w:val="00336981"/>
    <w:rsid w:val="00341C43"/>
    <w:rsid w:val="00341F0C"/>
    <w:rsid w:val="00344581"/>
    <w:rsid w:val="00344D2D"/>
    <w:rsid w:val="00347015"/>
    <w:rsid w:val="003514C3"/>
    <w:rsid w:val="003526EC"/>
    <w:rsid w:val="00356F73"/>
    <w:rsid w:val="00361EB7"/>
    <w:rsid w:val="003622E4"/>
    <w:rsid w:val="00366699"/>
    <w:rsid w:val="0036721D"/>
    <w:rsid w:val="003672D0"/>
    <w:rsid w:val="00367673"/>
    <w:rsid w:val="0037266D"/>
    <w:rsid w:val="00373035"/>
    <w:rsid w:val="00380691"/>
    <w:rsid w:val="0038387F"/>
    <w:rsid w:val="00384B6D"/>
    <w:rsid w:val="003859B8"/>
    <w:rsid w:val="00387061"/>
    <w:rsid w:val="00387FD2"/>
    <w:rsid w:val="00391A37"/>
    <w:rsid w:val="00392B86"/>
    <w:rsid w:val="00393494"/>
    <w:rsid w:val="00394622"/>
    <w:rsid w:val="00394A96"/>
    <w:rsid w:val="003A16DF"/>
    <w:rsid w:val="003A1ACF"/>
    <w:rsid w:val="003A71DA"/>
    <w:rsid w:val="003B1116"/>
    <w:rsid w:val="003B1D76"/>
    <w:rsid w:val="003C0553"/>
    <w:rsid w:val="003C0F69"/>
    <w:rsid w:val="003C374B"/>
    <w:rsid w:val="003D19FE"/>
    <w:rsid w:val="003D2AF7"/>
    <w:rsid w:val="003D348D"/>
    <w:rsid w:val="003D71D4"/>
    <w:rsid w:val="003D790B"/>
    <w:rsid w:val="003E0162"/>
    <w:rsid w:val="003E169E"/>
    <w:rsid w:val="003E187D"/>
    <w:rsid w:val="003E6EC6"/>
    <w:rsid w:val="003F5077"/>
    <w:rsid w:val="004010F9"/>
    <w:rsid w:val="004120D3"/>
    <w:rsid w:val="00414D19"/>
    <w:rsid w:val="00416EDC"/>
    <w:rsid w:val="004207C7"/>
    <w:rsid w:val="004216FE"/>
    <w:rsid w:val="0042196C"/>
    <w:rsid w:val="00422461"/>
    <w:rsid w:val="004241C0"/>
    <w:rsid w:val="00427D87"/>
    <w:rsid w:val="00430425"/>
    <w:rsid w:val="00432D68"/>
    <w:rsid w:val="0043381D"/>
    <w:rsid w:val="00436AC4"/>
    <w:rsid w:val="0044226A"/>
    <w:rsid w:val="004422BB"/>
    <w:rsid w:val="004438D9"/>
    <w:rsid w:val="0044478D"/>
    <w:rsid w:val="00446DA9"/>
    <w:rsid w:val="00446E39"/>
    <w:rsid w:val="004507D8"/>
    <w:rsid w:val="00457669"/>
    <w:rsid w:val="00463251"/>
    <w:rsid w:val="00464696"/>
    <w:rsid w:val="00464EEB"/>
    <w:rsid w:val="00464F46"/>
    <w:rsid w:val="00465F6D"/>
    <w:rsid w:val="0047131C"/>
    <w:rsid w:val="004717A5"/>
    <w:rsid w:val="0047307E"/>
    <w:rsid w:val="004764FD"/>
    <w:rsid w:val="00476FAE"/>
    <w:rsid w:val="00477ABA"/>
    <w:rsid w:val="0048094A"/>
    <w:rsid w:val="0048301F"/>
    <w:rsid w:val="004866B3"/>
    <w:rsid w:val="0048726E"/>
    <w:rsid w:val="00487B20"/>
    <w:rsid w:val="00487EB5"/>
    <w:rsid w:val="00497CBD"/>
    <w:rsid w:val="004A05C8"/>
    <w:rsid w:val="004A5ECE"/>
    <w:rsid w:val="004A6F61"/>
    <w:rsid w:val="004B0B4B"/>
    <w:rsid w:val="004B1CF3"/>
    <w:rsid w:val="004B1DF5"/>
    <w:rsid w:val="004B2497"/>
    <w:rsid w:val="004C1F57"/>
    <w:rsid w:val="004C53D7"/>
    <w:rsid w:val="004D0C87"/>
    <w:rsid w:val="004D2F4D"/>
    <w:rsid w:val="004D346D"/>
    <w:rsid w:val="004E1DD9"/>
    <w:rsid w:val="004E283F"/>
    <w:rsid w:val="004F0192"/>
    <w:rsid w:val="004F1C9A"/>
    <w:rsid w:val="004F687A"/>
    <w:rsid w:val="00500E95"/>
    <w:rsid w:val="005022C3"/>
    <w:rsid w:val="00502D16"/>
    <w:rsid w:val="00502DF2"/>
    <w:rsid w:val="0050432E"/>
    <w:rsid w:val="00505C15"/>
    <w:rsid w:val="005060B2"/>
    <w:rsid w:val="005147BC"/>
    <w:rsid w:val="005150D7"/>
    <w:rsid w:val="00516980"/>
    <w:rsid w:val="005175F2"/>
    <w:rsid w:val="005255D9"/>
    <w:rsid w:val="00532A17"/>
    <w:rsid w:val="00533CBC"/>
    <w:rsid w:val="00536027"/>
    <w:rsid w:val="00536E8D"/>
    <w:rsid w:val="00537C1B"/>
    <w:rsid w:val="00541498"/>
    <w:rsid w:val="00542197"/>
    <w:rsid w:val="00542787"/>
    <w:rsid w:val="005627A6"/>
    <w:rsid w:val="0056618E"/>
    <w:rsid w:val="00566CF5"/>
    <w:rsid w:val="00573981"/>
    <w:rsid w:val="0058285A"/>
    <w:rsid w:val="005864BA"/>
    <w:rsid w:val="00593FA6"/>
    <w:rsid w:val="005A39DE"/>
    <w:rsid w:val="005A3FFD"/>
    <w:rsid w:val="005A414D"/>
    <w:rsid w:val="005A50FC"/>
    <w:rsid w:val="005B0661"/>
    <w:rsid w:val="005B14ED"/>
    <w:rsid w:val="005B21D4"/>
    <w:rsid w:val="005B31BB"/>
    <w:rsid w:val="005B564F"/>
    <w:rsid w:val="005B6500"/>
    <w:rsid w:val="005B664A"/>
    <w:rsid w:val="005C6E51"/>
    <w:rsid w:val="005D0CCD"/>
    <w:rsid w:val="005D496F"/>
    <w:rsid w:val="005E08FD"/>
    <w:rsid w:val="005E1509"/>
    <w:rsid w:val="005E1E69"/>
    <w:rsid w:val="005F08B2"/>
    <w:rsid w:val="005F1447"/>
    <w:rsid w:val="005F2129"/>
    <w:rsid w:val="005F5C5A"/>
    <w:rsid w:val="005F5F24"/>
    <w:rsid w:val="005F6E26"/>
    <w:rsid w:val="006044CF"/>
    <w:rsid w:val="00615949"/>
    <w:rsid w:val="00616467"/>
    <w:rsid w:val="0061674C"/>
    <w:rsid w:val="00617F36"/>
    <w:rsid w:val="00620A1F"/>
    <w:rsid w:val="00620D4A"/>
    <w:rsid w:val="0062188A"/>
    <w:rsid w:val="00623C32"/>
    <w:rsid w:val="00625AD1"/>
    <w:rsid w:val="00627CE8"/>
    <w:rsid w:val="0063204B"/>
    <w:rsid w:val="00633BDF"/>
    <w:rsid w:val="00635E5A"/>
    <w:rsid w:val="006400EA"/>
    <w:rsid w:val="00641E8A"/>
    <w:rsid w:val="006430B8"/>
    <w:rsid w:val="00643B53"/>
    <w:rsid w:val="006515C0"/>
    <w:rsid w:val="00654A5C"/>
    <w:rsid w:val="0065629C"/>
    <w:rsid w:val="006639CF"/>
    <w:rsid w:val="006662EE"/>
    <w:rsid w:val="0067104A"/>
    <w:rsid w:val="00673FA0"/>
    <w:rsid w:val="00673FDB"/>
    <w:rsid w:val="006757EF"/>
    <w:rsid w:val="00675B54"/>
    <w:rsid w:val="006765B3"/>
    <w:rsid w:val="00682B1E"/>
    <w:rsid w:val="0068376E"/>
    <w:rsid w:val="00684AF4"/>
    <w:rsid w:val="00685242"/>
    <w:rsid w:val="00686363"/>
    <w:rsid w:val="0069002D"/>
    <w:rsid w:val="00692467"/>
    <w:rsid w:val="00693E00"/>
    <w:rsid w:val="006A0A13"/>
    <w:rsid w:val="006A4184"/>
    <w:rsid w:val="006A471D"/>
    <w:rsid w:val="006A6860"/>
    <w:rsid w:val="006A6ACE"/>
    <w:rsid w:val="006B1C4C"/>
    <w:rsid w:val="006B2CE2"/>
    <w:rsid w:val="006B3678"/>
    <w:rsid w:val="006B4E71"/>
    <w:rsid w:val="006B64CC"/>
    <w:rsid w:val="006B6BE5"/>
    <w:rsid w:val="006D2A62"/>
    <w:rsid w:val="006D56BE"/>
    <w:rsid w:val="006D5D19"/>
    <w:rsid w:val="006D623C"/>
    <w:rsid w:val="006E31E3"/>
    <w:rsid w:val="006E54DD"/>
    <w:rsid w:val="006E5BAB"/>
    <w:rsid w:val="006E6EB5"/>
    <w:rsid w:val="006F2384"/>
    <w:rsid w:val="006F282B"/>
    <w:rsid w:val="006F5967"/>
    <w:rsid w:val="006F6933"/>
    <w:rsid w:val="0070003B"/>
    <w:rsid w:val="007016EE"/>
    <w:rsid w:val="00703BA2"/>
    <w:rsid w:val="007051C6"/>
    <w:rsid w:val="00706AF4"/>
    <w:rsid w:val="00710BAD"/>
    <w:rsid w:val="007111B1"/>
    <w:rsid w:val="00712FB6"/>
    <w:rsid w:val="00713E17"/>
    <w:rsid w:val="00714CE5"/>
    <w:rsid w:val="00722C4A"/>
    <w:rsid w:val="00724AD7"/>
    <w:rsid w:val="00726752"/>
    <w:rsid w:val="007338ED"/>
    <w:rsid w:val="00734A02"/>
    <w:rsid w:val="00735618"/>
    <w:rsid w:val="00737B32"/>
    <w:rsid w:val="007405F8"/>
    <w:rsid w:val="00752F0C"/>
    <w:rsid w:val="00755860"/>
    <w:rsid w:val="00760ECA"/>
    <w:rsid w:val="00762CC6"/>
    <w:rsid w:val="00763366"/>
    <w:rsid w:val="00774045"/>
    <w:rsid w:val="007769FF"/>
    <w:rsid w:val="0077709A"/>
    <w:rsid w:val="00780507"/>
    <w:rsid w:val="00786B60"/>
    <w:rsid w:val="00791F3A"/>
    <w:rsid w:val="00792B60"/>
    <w:rsid w:val="007A0193"/>
    <w:rsid w:val="007A07F8"/>
    <w:rsid w:val="007A27B8"/>
    <w:rsid w:val="007A58F3"/>
    <w:rsid w:val="007A6EE2"/>
    <w:rsid w:val="007B1109"/>
    <w:rsid w:val="007B4B75"/>
    <w:rsid w:val="007B76A7"/>
    <w:rsid w:val="007C2156"/>
    <w:rsid w:val="007C2229"/>
    <w:rsid w:val="007C3E3B"/>
    <w:rsid w:val="007D058A"/>
    <w:rsid w:val="007D0AB6"/>
    <w:rsid w:val="007D6E05"/>
    <w:rsid w:val="007E0F22"/>
    <w:rsid w:val="007E6208"/>
    <w:rsid w:val="007F2C0F"/>
    <w:rsid w:val="007F395A"/>
    <w:rsid w:val="007F50D5"/>
    <w:rsid w:val="007F5342"/>
    <w:rsid w:val="008008E5"/>
    <w:rsid w:val="00800952"/>
    <w:rsid w:val="00801530"/>
    <w:rsid w:val="00801CBF"/>
    <w:rsid w:val="00803161"/>
    <w:rsid w:val="008045E5"/>
    <w:rsid w:val="0080734F"/>
    <w:rsid w:val="008078CC"/>
    <w:rsid w:val="0081279A"/>
    <w:rsid w:val="008135AC"/>
    <w:rsid w:val="00815C63"/>
    <w:rsid w:val="008201A1"/>
    <w:rsid w:val="00825073"/>
    <w:rsid w:val="00831C21"/>
    <w:rsid w:val="00832731"/>
    <w:rsid w:val="008339D5"/>
    <w:rsid w:val="00836271"/>
    <w:rsid w:val="00842884"/>
    <w:rsid w:val="00844586"/>
    <w:rsid w:val="00847A08"/>
    <w:rsid w:val="00850DDB"/>
    <w:rsid w:val="00850EC8"/>
    <w:rsid w:val="0085748F"/>
    <w:rsid w:val="008636BA"/>
    <w:rsid w:val="008642C2"/>
    <w:rsid w:val="00865962"/>
    <w:rsid w:val="00870A51"/>
    <w:rsid w:val="008724FA"/>
    <w:rsid w:val="008750A2"/>
    <w:rsid w:val="00876E5A"/>
    <w:rsid w:val="00881730"/>
    <w:rsid w:val="008817AD"/>
    <w:rsid w:val="00886CF3"/>
    <w:rsid w:val="00892CB5"/>
    <w:rsid w:val="00893850"/>
    <w:rsid w:val="0089525B"/>
    <w:rsid w:val="00895B0E"/>
    <w:rsid w:val="00896144"/>
    <w:rsid w:val="008968B8"/>
    <w:rsid w:val="008A0785"/>
    <w:rsid w:val="008A1668"/>
    <w:rsid w:val="008A5241"/>
    <w:rsid w:val="008A6786"/>
    <w:rsid w:val="008A6E6C"/>
    <w:rsid w:val="008A774E"/>
    <w:rsid w:val="008B4833"/>
    <w:rsid w:val="008B76A0"/>
    <w:rsid w:val="008C053B"/>
    <w:rsid w:val="008C64D5"/>
    <w:rsid w:val="008C7A2D"/>
    <w:rsid w:val="008D0768"/>
    <w:rsid w:val="008D0D9F"/>
    <w:rsid w:val="008D40CA"/>
    <w:rsid w:val="008D6025"/>
    <w:rsid w:val="008D7080"/>
    <w:rsid w:val="008E01D4"/>
    <w:rsid w:val="008E1F6A"/>
    <w:rsid w:val="008E440E"/>
    <w:rsid w:val="008E4B67"/>
    <w:rsid w:val="008F41DA"/>
    <w:rsid w:val="008F69F3"/>
    <w:rsid w:val="008F7069"/>
    <w:rsid w:val="008F7460"/>
    <w:rsid w:val="00901E21"/>
    <w:rsid w:val="009032A0"/>
    <w:rsid w:val="009053C5"/>
    <w:rsid w:val="00905AE0"/>
    <w:rsid w:val="00905D83"/>
    <w:rsid w:val="009104B8"/>
    <w:rsid w:val="0091152E"/>
    <w:rsid w:val="00911F8F"/>
    <w:rsid w:val="009128B8"/>
    <w:rsid w:val="00914A9A"/>
    <w:rsid w:val="0091575A"/>
    <w:rsid w:val="009201B1"/>
    <w:rsid w:val="00921128"/>
    <w:rsid w:val="00924A2D"/>
    <w:rsid w:val="00925636"/>
    <w:rsid w:val="009260FC"/>
    <w:rsid w:val="009268B2"/>
    <w:rsid w:val="00927621"/>
    <w:rsid w:val="00931A95"/>
    <w:rsid w:val="009357B6"/>
    <w:rsid w:val="0094128E"/>
    <w:rsid w:val="009435D3"/>
    <w:rsid w:val="009538D4"/>
    <w:rsid w:val="00953D45"/>
    <w:rsid w:val="00953FEE"/>
    <w:rsid w:val="00955026"/>
    <w:rsid w:val="00955FBB"/>
    <w:rsid w:val="00961602"/>
    <w:rsid w:val="00962834"/>
    <w:rsid w:val="00962F43"/>
    <w:rsid w:val="0096402B"/>
    <w:rsid w:val="00966FA2"/>
    <w:rsid w:val="00967A7D"/>
    <w:rsid w:val="00970191"/>
    <w:rsid w:val="00970537"/>
    <w:rsid w:val="009717BC"/>
    <w:rsid w:val="00972DA3"/>
    <w:rsid w:val="00973485"/>
    <w:rsid w:val="00974A81"/>
    <w:rsid w:val="0097506E"/>
    <w:rsid w:val="00975B2D"/>
    <w:rsid w:val="00976BEF"/>
    <w:rsid w:val="00977B01"/>
    <w:rsid w:val="00982DE9"/>
    <w:rsid w:val="0098646A"/>
    <w:rsid w:val="00987BB8"/>
    <w:rsid w:val="00991050"/>
    <w:rsid w:val="00994713"/>
    <w:rsid w:val="0099596B"/>
    <w:rsid w:val="00997AC8"/>
    <w:rsid w:val="009A63B8"/>
    <w:rsid w:val="009A6A7F"/>
    <w:rsid w:val="009A7693"/>
    <w:rsid w:val="009B099E"/>
    <w:rsid w:val="009B1821"/>
    <w:rsid w:val="009B263B"/>
    <w:rsid w:val="009B4FFA"/>
    <w:rsid w:val="009B79E6"/>
    <w:rsid w:val="009C0BF5"/>
    <w:rsid w:val="009C2605"/>
    <w:rsid w:val="009C2BC7"/>
    <w:rsid w:val="009C4619"/>
    <w:rsid w:val="009C54F1"/>
    <w:rsid w:val="009E2031"/>
    <w:rsid w:val="009E3CA0"/>
    <w:rsid w:val="009E43DA"/>
    <w:rsid w:val="009F011D"/>
    <w:rsid w:val="009F1D5E"/>
    <w:rsid w:val="009F59CF"/>
    <w:rsid w:val="009F5DDE"/>
    <w:rsid w:val="009F73DE"/>
    <w:rsid w:val="009F7C37"/>
    <w:rsid w:val="009F7D24"/>
    <w:rsid w:val="00A03ED8"/>
    <w:rsid w:val="00A04442"/>
    <w:rsid w:val="00A1162F"/>
    <w:rsid w:val="00A129D8"/>
    <w:rsid w:val="00A1472B"/>
    <w:rsid w:val="00A151F5"/>
    <w:rsid w:val="00A26F4E"/>
    <w:rsid w:val="00A27366"/>
    <w:rsid w:val="00A3058A"/>
    <w:rsid w:val="00A323B8"/>
    <w:rsid w:val="00A36DB4"/>
    <w:rsid w:val="00A401D4"/>
    <w:rsid w:val="00A41AE3"/>
    <w:rsid w:val="00A42539"/>
    <w:rsid w:val="00A43177"/>
    <w:rsid w:val="00A44984"/>
    <w:rsid w:val="00A46CB1"/>
    <w:rsid w:val="00A46CC3"/>
    <w:rsid w:val="00A51755"/>
    <w:rsid w:val="00A529F7"/>
    <w:rsid w:val="00A57057"/>
    <w:rsid w:val="00A63764"/>
    <w:rsid w:val="00A63C0B"/>
    <w:rsid w:val="00A6725E"/>
    <w:rsid w:val="00A70F0C"/>
    <w:rsid w:val="00A72F48"/>
    <w:rsid w:val="00A824A3"/>
    <w:rsid w:val="00A84DC5"/>
    <w:rsid w:val="00A85CBC"/>
    <w:rsid w:val="00A87199"/>
    <w:rsid w:val="00A93463"/>
    <w:rsid w:val="00A954CA"/>
    <w:rsid w:val="00A9730B"/>
    <w:rsid w:val="00AA1C73"/>
    <w:rsid w:val="00AA589D"/>
    <w:rsid w:val="00AA5DFC"/>
    <w:rsid w:val="00AA65E1"/>
    <w:rsid w:val="00AB7A68"/>
    <w:rsid w:val="00AC0613"/>
    <w:rsid w:val="00AD05C3"/>
    <w:rsid w:val="00AD0AD5"/>
    <w:rsid w:val="00AD3651"/>
    <w:rsid w:val="00AE2133"/>
    <w:rsid w:val="00AE32BD"/>
    <w:rsid w:val="00AE33AE"/>
    <w:rsid w:val="00AE46D0"/>
    <w:rsid w:val="00AF1A2C"/>
    <w:rsid w:val="00AF1A65"/>
    <w:rsid w:val="00AF72CC"/>
    <w:rsid w:val="00B03EA2"/>
    <w:rsid w:val="00B141E3"/>
    <w:rsid w:val="00B146AC"/>
    <w:rsid w:val="00B16B08"/>
    <w:rsid w:val="00B23BCA"/>
    <w:rsid w:val="00B263C1"/>
    <w:rsid w:val="00B27657"/>
    <w:rsid w:val="00B30977"/>
    <w:rsid w:val="00B333BE"/>
    <w:rsid w:val="00B33A0F"/>
    <w:rsid w:val="00B36150"/>
    <w:rsid w:val="00B3621D"/>
    <w:rsid w:val="00B37E89"/>
    <w:rsid w:val="00B41417"/>
    <w:rsid w:val="00B41509"/>
    <w:rsid w:val="00B451E5"/>
    <w:rsid w:val="00B46B45"/>
    <w:rsid w:val="00B46FD4"/>
    <w:rsid w:val="00B52D9F"/>
    <w:rsid w:val="00B56009"/>
    <w:rsid w:val="00B62437"/>
    <w:rsid w:val="00B62B65"/>
    <w:rsid w:val="00B63758"/>
    <w:rsid w:val="00B714B0"/>
    <w:rsid w:val="00B74981"/>
    <w:rsid w:val="00B7628B"/>
    <w:rsid w:val="00B82E87"/>
    <w:rsid w:val="00B839EF"/>
    <w:rsid w:val="00B83B80"/>
    <w:rsid w:val="00B84889"/>
    <w:rsid w:val="00B85150"/>
    <w:rsid w:val="00B93E8F"/>
    <w:rsid w:val="00BA0472"/>
    <w:rsid w:val="00BA1EFE"/>
    <w:rsid w:val="00BA351A"/>
    <w:rsid w:val="00BB537E"/>
    <w:rsid w:val="00BB592B"/>
    <w:rsid w:val="00BB5FEA"/>
    <w:rsid w:val="00BB61EE"/>
    <w:rsid w:val="00BB6B9D"/>
    <w:rsid w:val="00BB73B6"/>
    <w:rsid w:val="00BB7A8D"/>
    <w:rsid w:val="00BC11AB"/>
    <w:rsid w:val="00BC12D7"/>
    <w:rsid w:val="00BC3F1D"/>
    <w:rsid w:val="00BD42B4"/>
    <w:rsid w:val="00BD64EE"/>
    <w:rsid w:val="00BF6265"/>
    <w:rsid w:val="00C007BB"/>
    <w:rsid w:val="00C023F5"/>
    <w:rsid w:val="00C0247F"/>
    <w:rsid w:val="00C07E95"/>
    <w:rsid w:val="00C121FD"/>
    <w:rsid w:val="00C1236A"/>
    <w:rsid w:val="00C1283B"/>
    <w:rsid w:val="00C13B9D"/>
    <w:rsid w:val="00C13D97"/>
    <w:rsid w:val="00C1635B"/>
    <w:rsid w:val="00C166DA"/>
    <w:rsid w:val="00C22120"/>
    <w:rsid w:val="00C22233"/>
    <w:rsid w:val="00C3584F"/>
    <w:rsid w:val="00C3736F"/>
    <w:rsid w:val="00C40663"/>
    <w:rsid w:val="00C40764"/>
    <w:rsid w:val="00C46560"/>
    <w:rsid w:val="00C4681A"/>
    <w:rsid w:val="00C47CC4"/>
    <w:rsid w:val="00C50738"/>
    <w:rsid w:val="00C50A48"/>
    <w:rsid w:val="00C566D8"/>
    <w:rsid w:val="00C6298C"/>
    <w:rsid w:val="00C64669"/>
    <w:rsid w:val="00C660D1"/>
    <w:rsid w:val="00C66928"/>
    <w:rsid w:val="00C729A9"/>
    <w:rsid w:val="00C758FC"/>
    <w:rsid w:val="00C75AFE"/>
    <w:rsid w:val="00C80580"/>
    <w:rsid w:val="00C818AB"/>
    <w:rsid w:val="00C87134"/>
    <w:rsid w:val="00C87F67"/>
    <w:rsid w:val="00C90C5C"/>
    <w:rsid w:val="00C916C6"/>
    <w:rsid w:val="00C92589"/>
    <w:rsid w:val="00C92903"/>
    <w:rsid w:val="00C936F4"/>
    <w:rsid w:val="00C93A22"/>
    <w:rsid w:val="00C93E6D"/>
    <w:rsid w:val="00C95A63"/>
    <w:rsid w:val="00CB1CBD"/>
    <w:rsid w:val="00CB55CB"/>
    <w:rsid w:val="00CB638A"/>
    <w:rsid w:val="00CC1217"/>
    <w:rsid w:val="00CC22A8"/>
    <w:rsid w:val="00CC51D7"/>
    <w:rsid w:val="00CD2B72"/>
    <w:rsid w:val="00CD48F3"/>
    <w:rsid w:val="00CE4464"/>
    <w:rsid w:val="00CE44B9"/>
    <w:rsid w:val="00CE4A92"/>
    <w:rsid w:val="00CF098F"/>
    <w:rsid w:val="00CF1A51"/>
    <w:rsid w:val="00CF2690"/>
    <w:rsid w:val="00CF2C99"/>
    <w:rsid w:val="00CF641D"/>
    <w:rsid w:val="00D10FB3"/>
    <w:rsid w:val="00D150A1"/>
    <w:rsid w:val="00D208C9"/>
    <w:rsid w:val="00D243F7"/>
    <w:rsid w:val="00D424AB"/>
    <w:rsid w:val="00D454F6"/>
    <w:rsid w:val="00D466CA"/>
    <w:rsid w:val="00D46D61"/>
    <w:rsid w:val="00D47F42"/>
    <w:rsid w:val="00D50F90"/>
    <w:rsid w:val="00D51127"/>
    <w:rsid w:val="00D5131A"/>
    <w:rsid w:val="00D51C37"/>
    <w:rsid w:val="00D52C19"/>
    <w:rsid w:val="00D53D92"/>
    <w:rsid w:val="00D6178D"/>
    <w:rsid w:val="00D61887"/>
    <w:rsid w:val="00D6501A"/>
    <w:rsid w:val="00D65A12"/>
    <w:rsid w:val="00D71201"/>
    <w:rsid w:val="00D7130F"/>
    <w:rsid w:val="00D71B3C"/>
    <w:rsid w:val="00D72CE3"/>
    <w:rsid w:val="00D73B15"/>
    <w:rsid w:val="00D74C7F"/>
    <w:rsid w:val="00D75A1E"/>
    <w:rsid w:val="00D768CB"/>
    <w:rsid w:val="00D843F0"/>
    <w:rsid w:val="00D878F5"/>
    <w:rsid w:val="00D91E78"/>
    <w:rsid w:val="00D93EAF"/>
    <w:rsid w:val="00D952AB"/>
    <w:rsid w:val="00D96392"/>
    <w:rsid w:val="00DB34E6"/>
    <w:rsid w:val="00DB38C1"/>
    <w:rsid w:val="00DB6C9C"/>
    <w:rsid w:val="00DB6DBE"/>
    <w:rsid w:val="00DB7986"/>
    <w:rsid w:val="00DC2D44"/>
    <w:rsid w:val="00DC43FF"/>
    <w:rsid w:val="00DC5293"/>
    <w:rsid w:val="00DD12B5"/>
    <w:rsid w:val="00DD3FCB"/>
    <w:rsid w:val="00DD56AA"/>
    <w:rsid w:val="00DE6203"/>
    <w:rsid w:val="00DE6AE5"/>
    <w:rsid w:val="00DE7A93"/>
    <w:rsid w:val="00DE7F5E"/>
    <w:rsid w:val="00DF24E9"/>
    <w:rsid w:val="00DF5D35"/>
    <w:rsid w:val="00E03436"/>
    <w:rsid w:val="00E0603C"/>
    <w:rsid w:val="00E06C1C"/>
    <w:rsid w:val="00E1131D"/>
    <w:rsid w:val="00E11815"/>
    <w:rsid w:val="00E1181F"/>
    <w:rsid w:val="00E13F2C"/>
    <w:rsid w:val="00E14493"/>
    <w:rsid w:val="00E247E7"/>
    <w:rsid w:val="00E32C14"/>
    <w:rsid w:val="00E33470"/>
    <w:rsid w:val="00E34AA9"/>
    <w:rsid w:val="00E4699D"/>
    <w:rsid w:val="00E51600"/>
    <w:rsid w:val="00E611AE"/>
    <w:rsid w:val="00E621C6"/>
    <w:rsid w:val="00E62C9B"/>
    <w:rsid w:val="00E63453"/>
    <w:rsid w:val="00E6487D"/>
    <w:rsid w:val="00E67A62"/>
    <w:rsid w:val="00E67CE3"/>
    <w:rsid w:val="00E706B6"/>
    <w:rsid w:val="00E742AD"/>
    <w:rsid w:val="00E77C8C"/>
    <w:rsid w:val="00E77DAD"/>
    <w:rsid w:val="00E80D50"/>
    <w:rsid w:val="00E8130C"/>
    <w:rsid w:val="00E82F51"/>
    <w:rsid w:val="00E85148"/>
    <w:rsid w:val="00E876B3"/>
    <w:rsid w:val="00E918E3"/>
    <w:rsid w:val="00E93E1D"/>
    <w:rsid w:val="00E94673"/>
    <w:rsid w:val="00E951A0"/>
    <w:rsid w:val="00E96464"/>
    <w:rsid w:val="00E96D7A"/>
    <w:rsid w:val="00EB0A2C"/>
    <w:rsid w:val="00EB3C69"/>
    <w:rsid w:val="00EC11D9"/>
    <w:rsid w:val="00EC2140"/>
    <w:rsid w:val="00EC4F1C"/>
    <w:rsid w:val="00EC71C4"/>
    <w:rsid w:val="00EC79DB"/>
    <w:rsid w:val="00ED0371"/>
    <w:rsid w:val="00ED0EB4"/>
    <w:rsid w:val="00ED1C01"/>
    <w:rsid w:val="00ED21A8"/>
    <w:rsid w:val="00EF6AD0"/>
    <w:rsid w:val="00EF729C"/>
    <w:rsid w:val="00F05FDA"/>
    <w:rsid w:val="00F13D81"/>
    <w:rsid w:val="00F1503C"/>
    <w:rsid w:val="00F15CF0"/>
    <w:rsid w:val="00F16235"/>
    <w:rsid w:val="00F167CA"/>
    <w:rsid w:val="00F339C4"/>
    <w:rsid w:val="00F4034F"/>
    <w:rsid w:val="00F41310"/>
    <w:rsid w:val="00F421F8"/>
    <w:rsid w:val="00F430F8"/>
    <w:rsid w:val="00F4553E"/>
    <w:rsid w:val="00F515DA"/>
    <w:rsid w:val="00F543DF"/>
    <w:rsid w:val="00F5787F"/>
    <w:rsid w:val="00F632BD"/>
    <w:rsid w:val="00F63B30"/>
    <w:rsid w:val="00F66176"/>
    <w:rsid w:val="00F726DC"/>
    <w:rsid w:val="00F80117"/>
    <w:rsid w:val="00F8181E"/>
    <w:rsid w:val="00F82E59"/>
    <w:rsid w:val="00F94989"/>
    <w:rsid w:val="00F95BBE"/>
    <w:rsid w:val="00FA6EB6"/>
    <w:rsid w:val="00FA6F81"/>
    <w:rsid w:val="00FB2501"/>
    <w:rsid w:val="00FB34D9"/>
    <w:rsid w:val="00FC1077"/>
    <w:rsid w:val="00FC1B5E"/>
    <w:rsid w:val="00FC2D07"/>
    <w:rsid w:val="00FC7740"/>
    <w:rsid w:val="00FC7B95"/>
    <w:rsid w:val="00FD113E"/>
    <w:rsid w:val="00FD5E24"/>
    <w:rsid w:val="00FE10A6"/>
    <w:rsid w:val="00FE293D"/>
    <w:rsid w:val="00FE31E5"/>
    <w:rsid w:val="00FE36BC"/>
    <w:rsid w:val="00FE37B3"/>
    <w:rsid w:val="00FE643C"/>
    <w:rsid w:val="00FE65B4"/>
    <w:rsid w:val="00FF0E44"/>
    <w:rsid w:val="00FF5A58"/>
    <w:rsid w:val="00FF62AD"/>
    <w:rsid w:val="00FF75D5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95E24"/>
  <w15:chartTrackingRefBased/>
  <w15:docId w15:val="{5A93B159-A231-45A1-807D-FF3254D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78D"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07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68B8"/>
    <w:rPr>
      <w:rFonts w:ascii="Calibri" w:eastAsia="Calibri" w:hAnsi="Calibri" w:cs="Times New Roman"/>
      <w:sz w:val="22"/>
      <w:szCs w:val="22"/>
      <w:lang w:val="el-GR" w:eastAsia="en-US"/>
    </w:rPr>
  </w:style>
  <w:style w:type="paragraph" w:styleId="Footer">
    <w:name w:val="footer"/>
    <w:basedOn w:val="Normal"/>
    <w:link w:val="FooterChar"/>
    <w:uiPriority w:val="99"/>
    <w:unhideWhenUsed/>
    <w:rsid w:val="0089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68B8"/>
    <w:rPr>
      <w:rFonts w:ascii="Calibri" w:eastAsia="Calibri" w:hAnsi="Calibri" w:cs="Times New Roman"/>
      <w:sz w:val="22"/>
      <w:szCs w:val="22"/>
      <w:lang w:val="el-G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B664A"/>
  </w:style>
  <w:style w:type="character" w:styleId="Hyperlink">
    <w:name w:val="Hyperlink"/>
    <w:rsid w:val="005F5F24"/>
    <w:rPr>
      <w:color w:val="0000FF"/>
      <w:u w:val="single"/>
    </w:rPr>
  </w:style>
  <w:style w:type="paragraph" w:styleId="NormalWeb">
    <w:name w:val="Normal (Web)"/>
    <w:basedOn w:val="Normal"/>
    <w:uiPriority w:val="99"/>
    <w:rsid w:val="005F5F24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en-US"/>
    </w:rPr>
  </w:style>
  <w:style w:type="character" w:customStyle="1" w:styleId="UnresolvedMention1">
    <w:name w:val="Unresolved Mention1"/>
    <w:uiPriority w:val="99"/>
    <w:semiHidden/>
    <w:unhideWhenUsed/>
    <w:rsid w:val="005F5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676C"/>
    <w:pPr>
      <w:spacing w:after="160" w:line="259" w:lineRule="auto"/>
      <w:ind w:left="720"/>
      <w:contextualSpacing/>
    </w:pPr>
    <w:rPr>
      <w:rFonts w:cs="Arial"/>
    </w:rPr>
  </w:style>
  <w:style w:type="character" w:customStyle="1" w:styleId="UnresolvedMention2">
    <w:name w:val="Unresolved Mention2"/>
    <w:uiPriority w:val="99"/>
    <w:semiHidden/>
    <w:unhideWhenUsed/>
    <w:rsid w:val="00260A35"/>
    <w:rPr>
      <w:color w:val="605E5C"/>
      <w:shd w:val="clear" w:color="auto" w:fill="E1DFDD"/>
    </w:rPr>
  </w:style>
  <w:style w:type="paragraph" w:customStyle="1" w:styleId="Default">
    <w:name w:val="Default"/>
    <w:rsid w:val="00953FEE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BlockText">
    <w:name w:val="Block Text"/>
    <w:basedOn w:val="Normal"/>
    <w:rsid w:val="007B1109"/>
    <w:pPr>
      <w:widowControl w:val="0"/>
      <w:adjustRightInd w:val="0"/>
      <w:spacing w:after="0" w:line="360" w:lineRule="atLeast"/>
      <w:ind w:left="709" w:right="-199" w:hanging="360"/>
      <w:jc w:val="both"/>
      <w:textAlignment w:val="baseline"/>
    </w:pPr>
    <w:rPr>
      <w:rFonts w:ascii="Arial" w:eastAsia="PMingLiU" w:hAnsi="Arial" w:cs="Arial"/>
      <w:snapToGrid w:val="0"/>
      <w:lang w:eastAsia="ja-JP"/>
    </w:rPr>
  </w:style>
  <w:style w:type="paragraph" w:styleId="BodyTextIndent">
    <w:name w:val="Body Text Indent"/>
    <w:basedOn w:val="Normal"/>
    <w:link w:val="BodyTextIndentChar"/>
    <w:rsid w:val="007B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7B110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2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69A"/>
    <w:rPr>
      <w:rFonts w:eastAsia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9A"/>
    <w:rPr>
      <w:rFonts w:eastAsia="Calibri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9A"/>
    <w:rPr>
      <w:rFonts w:ascii="Segoe UI" w:eastAsia="Calibr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216FE"/>
    <w:rPr>
      <w:rFonts w:eastAsia="Calibri" w:cs="Times New Roman"/>
      <w:sz w:val="22"/>
      <w:szCs w:val="22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C05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73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5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63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71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helleniq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FCA5-BE16-453C-96C0-2ADBD984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2478</Words>
  <Characters>13383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Ruttert</dc:creator>
  <cp:keywords/>
  <dc:description/>
  <cp:lastModifiedBy>Pantelis Arsenis</cp:lastModifiedBy>
  <cp:revision>2</cp:revision>
  <cp:lastPrinted>2024-02-22T09:39:00Z</cp:lastPrinted>
  <dcterms:created xsi:type="dcterms:W3CDTF">2024-02-29T15:46:00Z</dcterms:created>
  <dcterms:modified xsi:type="dcterms:W3CDTF">2024-02-29T15:46:00Z</dcterms:modified>
</cp:coreProperties>
</file>